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570" w:type="dxa"/>
        <w:tblInd w:w="108" w:type="dxa"/>
        <w:tblLayout w:type="fixed"/>
        <w:tblCellMar>
          <w:left w:w="108" w:type="dxa"/>
          <w:top w:w="0" w:type="dxa"/>
          <w:right w:w="108" w:type="dxa"/>
          <w:bottom w:w="0" w:type="dxa"/>
        </w:tblCellMar>
        <w:tblLook w:val="04A0" w:firstRow="1" w:lastRow="0" w:firstColumn="1" w:lastColumn="0" w:noHBand="0" w:noVBand="1"/>
      </w:tblPr>
      <w:tblGrid>
        <w:gridCol w:w="9570"/>
      </w:tblGrid>
      <w:tr>
        <w:trPr>
          <w:trHeight w:val="2924"/>
        </w:trPr>
        <w:tc>
          <w:tcPr>
            <w:tcW w:w="9570" w:type="dxa"/>
            <w:textDirection w:val="lrTb"/>
            <w:noWrap w:val="false"/>
          </w:tcPr>
          <w:p>
            <w:pPr>
              <w:jc w:val="right"/>
              <w:spacing w:lineRule="auto" w:line="240" w:after="0"/>
              <w:tabs>
                <w:tab w:val="left" w:pos="5102" w:leader="none"/>
                <w:tab w:val="center" w:pos="9213" w:leader="none"/>
              </w:tabs>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r>
            <w:r>
              <w:rPr>
                <w:rFonts w:ascii="Arial" w:hAnsi="Arial" w:cs="Arial"/>
                <w:i/>
                <w:sz w:val="18"/>
                <w:szCs w:val="18"/>
                <w:lang w:eastAsia="ru-RU"/>
              </w:rPr>
              <mc:AlternateContent>
                <mc:Choice Requires="wpg">
                  <w:drawing>
                    <wp:inline xmlns:wp="http://schemas.openxmlformats.org/drawingml/2006/wordprocessingDrawing" distT="0" distB="0" distL="0" distR="0">
                      <wp:extent cx="518847" cy="614824"/>
                      <wp:effectExtent l="19050" t="0" r="0" b="0"/>
                      <wp:docPr id="1" name="Рисунок 1" descr="C:\Users\n.didenko\Desktop\Бланки новые\БЛАНКИ - 2020 год\герб_1.pn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417662" name="Picture 2" descr="C:\Users\n.didenko\Desktop\Бланки новые\БЛАНКИ - 2020 год\герб_1.png" hidden="0"/>
                              <pic:cNvPicPr>
                                <a:picLocks noChangeAspect="1"/>
                              </pic:cNvPicPr>
                              <pic:nvPr isPhoto="0" userDrawn="0"/>
                            </pic:nvPicPr>
                            <pic:blipFill>
                              <a:blip r:embed="rId12"/>
                              <a:stretch/>
                            </pic:blipFill>
                            <pic:spPr bwMode="auto">
                              <a:xfrm>
                                <a:off x="0" y="0"/>
                                <a:ext cx="518844" cy="614822"/>
                              </a:xfrm>
                              <a:prstGeom prst="rect">
                                <a:avLst/>
                              </a:prstGeom>
                              <a:noFill/>
                              <a:ln w="9525">
                                <a:noFill/>
                                <a:miter/>
                                <a:headEnd/>
                                <a:tailE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0.9pt;height:48.4pt;" stroked="f" strokeweight="0.75pt">
                      <v:path textboxrect="0,0,0,0"/>
                      <v:imagedata r:id="rId12" o:title=""/>
                    </v:shape>
                  </w:pict>
                </mc:Fallback>
              </mc:AlternateContent>
            </w:r>
            <w:r>
              <w:rPr>
                <w:rFonts w:ascii="Times New Roman" w:hAnsi="Times New Roman" w:cs="Times New Roman" w:eastAsia="Times New Roman"/>
                <w:b/>
                <w:bCs/>
                <w:iCs/>
                <w:sz w:val="24"/>
                <w:szCs w:val="24"/>
                <w:lang w:eastAsia="ru-RU"/>
              </w:rPr>
              <w:tab/>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РОССИЙСКАЯ ФЕДЕРАЦИЯ</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БЕЛГОРОДСКАЯ ОБЛАСТЬ</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СОВЕТ ДЕПУТАТОВ</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НОВООСКОЛЬСКОГО </w:t>
            </w:r>
            <w:r>
              <w:rPr>
                <w:rFonts w:ascii="Times New Roman" w:hAnsi="Times New Roman" w:cs="Times New Roman" w:eastAsia="Times New Roman"/>
                <w:b/>
                <w:bCs/>
                <w:iCs/>
                <w:sz w:val="24"/>
                <w:szCs w:val="24"/>
                <w:lang w:eastAsia="ru-RU"/>
              </w:rPr>
              <w:t xml:space="preserve">МУНИЦИПАЛЬНОГО</w:t>
            </w:r>
            <w:r>
              <w:rPr>
                <w:rFonts w:ascii="Times New Roman" w:hAnsi="Times New Roman" w:cs="Times New Roman" w:eastAsia="Times New Roman"/>
                <w:b/>
                <w:bCs/>
                <w:iCs/>
                <w:sz w:val="24"/>
                <w:szCs w:val="24"/>
                <w:lang w:eastAsia="ru-RU"/>
              </w:rPr>
              <w:t xml:space="preserve"> ОКРУГА</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БЕЛГОРОДСКОЙ ОБЛАСТИ</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bookmarkStart w:id="0" w:name="_GoBack"/>
            <w:r/>
            <w:bookmarkEnd w:id="0"/>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Cs/>
                <w:iCs/>
                <w:sz w:val="20"/>
                <w:szCs w:val="20"/>
                <w:lang w:eastAsia="ru-RU"/>
              </w:rPr>
              <w:t xml:space="preserve">Сорок пятое </w:t>
            </w:r>
            <w:r>
              <w:rPr>
                <w:rFonts w:ascii="Times New Roman" w:hAnsi="Times New Roman" w:cs="Times New Roman" w:eastAsia="Times New Roman"/>
                <w:bCs/>
                <w:iCs/>
                <w:sz w:val="20"/>
                <w:szCs w:val="20"/>
                <w:lang w:eastAsia="ru-RU"/>
              </w:rPr>
              <w:t xml:space="preserve">заседание Совета депутатов  Новооскол</w:t>
            </w:r>
            <w:r>
              <w:rPr>
                <w:rFonts w:ascii="Times New Roman" w:hAnsi="Times New Roman" w:cs="Times New Roman" w:eastAsia="Times New Roman"/>
                <w:bCs/>
                <w:iCs/>
                <w:sz w:val="20"/>
                <w:szCs w:val="20"/>
                <w:lang w:eastAsia="ru-RU"/>
              </w:rPr>
              <w:t xml:space="preserve">ьского </w:t>
            </w:r>
            <w:r>
              <w:rPr>
                <w:rFonts w:ascii="Times New Roman" w:hAnsi="Times New Roman" w:cs="Times New Roman" w:eastAsia="Times New Roman"/>
                <w:bCs/>
                <w:iCs/>
                <w:sz w:val="20"/>
                <w:szCs w:val="20"/>
                <w:lang w:eastAsia="ru-RU"/>
              </w:rPr>
              <w:t xml:space="preserve">муниципального округа</w:t>
            </w:r>
            <w:r>
              <w:rPr>
                <w:rFonts w:ascii="Times New Roman" w:hAnsi="Times New Roman" w:cs="Times New Roman" w:eastAsia="Times New Roman"/>
                <w:bCs/>
                <w:iCs/>
                <w:sz w:val="20"/>
                <w:szCs w:val="20"/>
                <w:lang w:eastAsia="ru-RU"/>
              </w:rPr>
              <w:t xml:space="preserve"> Белгородской области</w:t>
            </w:r>
            <w:r>
              <w:rPr>
                <w:rFonts w:ascii="Times New Roman" w:hAnsi="Times New Roman" w:cs="Times New Roman" w:eastAsia="Times New Roman"/>
                <w:bCs/>
                <w:iCs/>
                <w:sz w:val="20"/>
                <w:szCs w:val="20"/>
                <w:lang w:eastAsia="ru-RU"/>
              </w:rPr>
              <w:t xml:space="preserve"> </w:t>
            </w:r>
            <w:r>
              <w:rPr>
                <w:rFonts w:ascii="Times New Roman" w:hAnsi="Times New Roman" w:cs="Times New Roman" w:eastAsia="Times New Roman"/>
                <w:bCs/>
                <w:iCs/>
                <w:sz w:val="20"/>
                <w:szCs w:val="20"/>
                <w:lang w:eastAsia="ru-RU"/>
              </w:rPr>
              <w:t xml:space="preserve">второго</w:t>
            </w:r>
            <w:r>
              <w:rPr>
                <w:rFonts w:ascii="Times New Roman" w:hAnsi="Times New Roman" w:cs="Times New Roman" w:eastAsia="Times New Roman"/>
                <w:bCs/>
                <w:iCs/>
                <w:sz w:val="20"/>
                <w:szCs w:val="20"/>
                <w:lang w:eastAsia="ru-RU"/>
              </w:rPr>
              <w:t xml:space="preserve"> созыва</w:t>
            </w:r>
            <w:r>
              <w:rPr>
                <w:rFonts w:ascii="Times New Roman" w:hAnsi="Times New Roman" w:cs="Times New Roman" w:eastAsia="Times New Roman"/>
                <w:bCs/>
                <w:iCs/>
                <w:sz w:val="20"/>
                <w:szCs w:val="20"/>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Р</w:t>
            </w:r>
            <w:r>
              <w:rPr>
                <w:rFonts w:ascii="Times New Roman" w:hAnsi="Times New Roman" w:cs="Times New Roman" w:eastAsia="Times New Roman"/>
                <w:b/>
                <w:bCs/>
                <w:iCs/>
                <w:sz w:val="28"/>
                <w:szCs w:val="28"/>
                <w:lang w:eastAsia="ru-RU"/>
              </w:rPr>
              <w:t xml:space="preserve"> Е Ш Е Н И Е</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Cs/>
                <w:iCs/>
                <w:sz w:val="24"/>
                <w:szCs w:val="24"/>
                <w:lang w:eastAsia="ru-RU"/>
              </w:rPr>
              <w:t xml:space="preserve">28 апреля 2026</w:t>
            </w:r>
            <w:r>
              <w:rPr>
                <w:rFonts w:ascii="Times New Roman" w:hAnsi="Times New Roman" w:cs="Times New Roman" w:eastAsia="Times New Roman"/>
                <w:bCs/>
                <w:iCs/>
                <w:sz w:val="24"/>
                <w:szCs w:val="24"/>
                <w:lang w:eastAsia="ru-RU"/>
              </w:rPr>
              <w:t xml:space="preserve">  года                                                                                                             №  </w:t>
            </w:r>
            <w:r>
              <w:t xml:space="preserve">504</w:t>
            </w:r>
            <w:r/>
          </w:p>
        </w:tc>
      </w:tr>
    </w:tbl>
    <w:p>
      <w:pPr>
        <w:pStyle w:val="798"/>
        <w:jc w:val="both"/>
        <w:rPr>
          <w:sz w:val="27"/>
          <w:szCs w:val="27"/>
        </w:rPr>
      </w:pPr>
      <w:r>
        <w:rPr>
          <w:sz w:val="27"/>
          <w:szCs w:val="27"/>
        </w:rPr>
      </w:r>
      <w:r/>
    </w:p>
    <w:p>
      <w:pPr>
        <w:pStyle w:val="798"/>
        <w:jc w:val="both"/>
        <w:spacing w:lineRule="auto" w:line="240"/>
        <w:rPr>
          <w:sz w:val="28"/>
          <w:szCs w:val="28"/>
        </w:rPr>
      </w:pPr>
      <w:r>
        <w:rPr>
          <w:sz w:val="28"/>
          <w:szCs w:val="28"/>
        </w:rPr>
      </w:r>
      <w:r/>
    </w:p>
    <w:tbl>
      <w:tblPr>
        <w:tblW w:w="8861" w:type="dxa"/>
        <w:tblInd w:w="0" w:type="dxa"/>
        <w:tblLayout w:type="fixed"/>
        <w:tblCellMar>
          <w:left w:w="108" w:type="dxa"/>
          <w:top w:w="0" w:type="dxa"/>
          <w:right w:w="108" w:type="dxa"/>
          <w:bottom w:w="0" w:type="dxa"/>
        </w:tblCellMar>
        <w:tblLook w:val="04A0" w:firstRow="1" w:lastRow="0" w:firstColumn="1" w:lastColumn="0" w:noHBand="0" w:noVBand="1"/>
      </w:tblPr>
      <w:tblGrid>
        <w:gridCol w:w="6202"/>
        <w:gridCol w:w="2659"/>
      </w:tblGrid>
      <w:tr>
        <w:trPr>
          <w:trHeight w:val="944"/>
        </w:trPr>
        <w:tc>
          <w:tcPr>
            <w:tcW w:w="6202" w:type="dxa"/>
            <w:textDirection w:val="lrTb"/>
            <w:noWrap w:val="false"/>
          </w:tcPr>
          <w:p>
            <w:pPr>
              <w:pStyle w:val="939"/>
              <w:jc w:val="both"/>
              <w:spacing w:lineRule="auto" w:line="240" w:after="0" w:before="0"/>
              <w:shd w:val="clear" w:fill="FFFFFF" w:color="auto"/>
              <w:tabs>
                <w:tab w:val="clear" w:pos="709" w:leader="none"/>
                <w:tab w:val="left" w:pos="4394" w:leader="none"/>
                <w:tab w:val="left" w:pos="4535" w:leader="none"/>
              </w:tabs>
              <w:rPr>
                <w:sz w:val="26"/>
                <w:szCs w:val="28"/>
              </w:rPr>
            </w:pPr>
            <w:r>
              <w:rPr>
                <w:b/>
                <w:sz w:val="26"/>
                <w:szCs w:val="28"/>
              </w:rPr>
              <w:t xml:space="preserve">Об утверждении Положения о муниципальном земельном контроле  </w:t>
            </w:r>
            <w:r>
              <w:rPr>
                <w:rFonts w:cs="Times New Roman" w:eastAsia="Times New Roman"/>
                <w:b/>
                <w:color w:val="000000"/>
                <w:sz w:val="26"/>
                <w:szCs w:val="28"/>
                <w:lang w:val="ru-RU"/>
              </w:rPr>
              <w:t xml:space="preserve">в границах</w:t>
            </w:r>
            <w:r>
              <w:rPr>
                <w:b/>
                <w:sz w:val="26"/>
                <w:szCs w:val="28"/>
              </w:rPr>
              <w:t xml:space="preserve"> Новооскольского </w:t>
            </w:r>
            <w:r>
              <w:rPr>
                <w:b/>
                <w:sz w:val="26"/>
                <w:szCs w:val="28"/>
              </w:rPr>
              <w:t xml:space="preserve">муниципального</w:t>
            </w:r>
            <w:r>
              <w:rPr>
                <w:b/>
                <w:sz w:val="26"/>
                <w:szCs w:val="28"/>
              </w:rPr>
              <w:t xml:space="preserve"> округа </w:t>
            </w:r>
            <w:r>
              <w:rPr>
                <w:b/>
                <w:sz w:val="26"/>
                <w:szCs w:val="28"/>
              </w:rPr>
              <w:t xml:space="preserve">Белгородской области</w:t>
            </w:r>
            <w:r>
              <w:rPr>
                <w:sz w:val="26"/>
              </w:rPr>
            </w:r>
            <w:r/>
          </w:p>
        </w:tc>
        <w:tc>
          <w:tcPr>
            <w:tcW w:w="2659" w:type="dxa"/>
            <w:textDirection w:val="lrTb"/>
            <w:noWrap w:val="false"/>
          </w:tcPr>
          <w:p>
            <w:pPr>
              <w:pStyle w:val="937"/>
              <w:spacing w:lineRule="auto" w:line="240" w:after="0" w:before="0"/>
              <w:rPr>
                <w:sz w:val="26"/>
                <w:szCs w:val="28"/>
              </w:rPr>
            </w:pPr>
            <w:r>
              <w:rPr>
                <w:sz w:val="26"/>
                <w:szCs w:val="28"/>
              </w:rPr>
            </w:r>
            <w:r>
              <w:rPr>
                <w:sz w:val="26"/>
              </w:rPr>
              <mc:AlternateContent>
                <mc:Choice Requires="wpg">
                  <w:drawing>
                    <wp:anchor xmlns:wp="http://schemas.openxmlformats.org/drawingml/2006/wordprocessingDrawing" distT="0" distB="0" distL="114300" distR="114300" simplePos="0" relativeHeight="251661312" behindDoc="0" locked="0" layoutInCell="1" allowOverlap="1">
                      <wp:simplePos x="0" y="0"/>
                      <wp:positionH relativeFrom="column">
                        <wp:posOffset>572770</wp:posOffset>
                      </wp:positionH>
                      <wp:positionV relativeFrom="paragraph">
                        <wp:posOffset>240918</wp:posOffset>
                      </wp:positionV>
                      <wp:extent cx="1089025" cy="734060"/>
                      <wp:effectExtent l="0" t="635" r="635" b="0"/>
                      <wp:wrapNone/>
                      <wp:docPr id="2" name="Поле 5" hidden="0"/>
                      <wp:cNvGraphicFramePr/>
                      <a:graphic xmlns:a="http://schemas.openxmlformats.org/drawingml/2006/main">
                        <a:graphicData uri="http://schemas.microsoft.com/office/word/2010/wordprocessingShape">
                          <wps:wsp>
                            <wps:cNvSpPr txBox="1">
                              <a:spLocks noChangeArrowheads="1"/>
                            </wps:cNvSpPr>
                            <wps:spPr bwMode="auto">
                              <a:xfrm>
                                <a:off x="0" y="0"/>
                                <a:ext cx="1089024" cy="734059"/>
                              </a:xfrm>
                              <a:prstGeom prst="rect">
                                <a:avLst/>
                              </a:prstGeom>
                              <a:solidFill>
                                <a:srgbClr val="FFFFFF"/>
                              </a:solidFill>
                              <a:ln>
                                <a:noFill/>
                                <a:miter/>
                              </a:ln>
                            </wps:spPr>
                            <wps:txbx>
                              <w:txbxContent>
                                <w:p>
                                  <w:pPr>
                                    <w:rPr>
                                      <w:sz w:val="16"/>
                                      <w:szCs w:val="16"/>
                                    </w:rPr>
                                  </w:pPr>
                                  <w:r>
                                    <w:rPr>
                                      <w:sz w:val="16"/>
                                      <w:szCs w:val="16"/>
                                    </w:rPr>
                                  </w:r>
                                  <w:r>
                                    <w:rPr>
                                      <w:sz w:val="16"/>
                                      <w:szCs w:val="16"/>
                                    </w:rPr>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1" o:spid="_x0000_s1" o:spt="1" style="position:absolute;mso-wrap-distance-left:9.0pt;mso-wrap-distance-top:0.0pt;mso-wrap-distance-right:9.0pt;mso-wrap-distance-bottom:0.0pt;z-index:251661312;o:allowoverlap:true;o:allowincell:true;mso-position-horizontal-relative:text;margin-left:45.1pt;mso-position-horizontal:absolute;mso-position-vertical-relative:text;margin-top:19.0pt;mso-position-vertical:absolute;width:85.8pt;height:57.8pt;v-text-anchor:top;" coordsize="100000,100000" path="" fillcolor="#FFFFFF" stroked="f">
                      <v:path textboxrect="0,0,0,0"/>
                      <v:textbox>
                        <w:txbxContent>
                          <w:p>
                            <w:pPr>
                              <w:rPr>
                                <w:sz w:val="16"/>
                                <w:szCs w:val="16"/>
                              </w:rPr>
                            </w:pPr>
                            <w:r>
                              <w:rPr>
                                <w:sz w:val="16"/>
                                <w:szCs w:val="16"/>
                              </w:rPr>
                            </w:r>
                            <w:r>
                              <w:rPr>
                                <w:sz w:val="16"/>
                                <w:szCs w:val="16"/>
                              </w:rPr>
                            </w:r>
                            <w:r/>
                          </w:p>
                        </w:txbxContent>
                      </v:textbox>
                    </v:shape>
                  </w:pict>
                </mc:Fallback>
              </mc:AlternateContent>
            </w:r>
            <w:r>
              <w:rPr>
                <w:sz w:val="26"/>
              </w:rPr>
            </w:r>
            <w:r/>
          </w:p>
        </w:tc>
      </w:tr>
    </w:tbl>
    <w:p>
      <w:pPr>
        <w:pStyle w:val="937"/>
        <w:jc w:val="both"/>
        <w:spacing w:lineRule="auto" w:line="240" w:after="0" w:before="0"/>
        <w:rPr>
          <w:sz w:val="26"/>
          <w:szCs w:val="28"/>
        </w:rPr>
      </w:pPr>
      <w:r>
        <w:rPr>
          <w:sz w:val="26"/>
          <w:szCs w:val="28"/>
        </w:rPr>
      </w:r>
      <w:r>
        <w:rPr>
          <w:sz w:val="26"/>
        </w:rPr>
      </w:r>
      <w:r/>
    </w:p>
    <w:p>
      <w:pPr>
        <w:pStyle w:val="937"/>
        <w:jc w:val="both"/>
        <w:spacing w:lineRule="auto" w:line="240" w:after="0" w:before="0"/>
        <w:rPr>
          <w:sz w:val="26"/>
          <w:szCs w:val="28"/>
        </w:rPr>
      </w:pPr>
      <w:r>
        <w:rPr>
          <w:sz w:val="26"/>
          <w:szCs w:val="28"/>
        </w:rPr>
      </w:r>
      <w:r>
        <w:rPr>
          <w:sz w:val="26"/>
        </w:rPr>
      </w:r>
      <w:r/>
    </w:p>
    <w:p>
      <w:pPr>
        <w:pStyle w:val="937"/>
        <w:jc w:val="both"/>
        <w:spacing w:lineRule="auto" w:line="240" w:after="0" w:before="0"/>
        <w:rPr>
          <w:sz w:val="26"/>
          <w:szCs w:val="28"/>
        </w:rPr>
      </w:pPr>
      <w:r>
        <w:rPr>
          <w:sz w:val="26"/>
          <w:szCs w:val="28"/>
        </w:rPr>
      </w:r>
      <w:r>
        <w:rPr>
          <w:sz w:val="26"/>
        </w:rPr>
      </w:r>
      <w:r/>
    </w:p>
    <w:p>
      <w:pPr>
        <w:pStyle w:val="798"/>
        <w:jc w:val="both"/>
        <w:spacing w:lineRule="auto" w:line="240" w:after="0" w:before="0"/>
        <w:shd w:val="clear" w:fill="FFFFFF" w:color="auto"/>
        <w:rPr>
          <w:sz w:val="26"/>
        </w:rPr>
      </w:pPr>
      <w:r>
        <w:rPr>
          <w:sz w:val="26"/>
          <w:szCs w:val="28"/>
        </w:rPr>
        <w:tab/>
      </w:r>
      <w:r>
        <w:rPr>
          <w:rFonts w:cs="Times New Roman" w:eastAsia="Times New Roman"/>
          <w:color w:val="000000"/>
          <w:sz w:val="26"/>
          <w:szCs w:val="28"/>
          <w:lang w:val="ru-RU"/>
        </w:rPr>
        <w:t xml:space="preserve">В </w:t>
      </w:r>
      <w:r>
        <w:rPr>
          <w:rFonts w:cs="Times New Roman" w:eastAsia="Times New Roman"/>
          <w:color w:val="000000"/>
          <w:sz w:val="26"/>
          <w:szCs w:val="28"/>
          <w:lang w:val="ru-RU"/>
        </w:rPr>
        <w:t xml:space="preserve">соответствии с Земельным кодексом Российский Федерации, </w:t>
      </w:r>
      <w:r>
        <w:rPr>
          <w:rFonts w:cs="Times New Roman" w:eastAsia="Times New Roman"/>
          <w:color w:val="000000"/>
          <w:sz w:val="26"/>
          <w:szCs w:val="28"/>
          <w:lang w:val="ru-RU"/>
        </w:rPr>
        <w:t xml:space="preserve"> Федеральн</w:t>
      </w:r>
      <w:r>
        <w:rPr>
          <w:rFonts w:cs="Times New Roman" w:eastAsia="Times New Roman"/>
          <w:color w:val="000000"/>
          <w:sz w:val="26"/>
          <w:szCs w:val="28"/>
          <w:lang w:val="ru-RU"/>
        </w:rPr>
        <w:t xml:space="preserve">ым</w:t>
      </w:r>
      <w:r>
        <w:rPr>
          <w:rFonts w:cs="Times New Roman" w:eastAsia="Times New Roman"/>
          <w:color w:val="000000"/>
          <w:sz w:val="26"/>
          <w:szCs w:val="28"/>
          <w:lang w:val="ru-RU"/>
        </w:rPr>
        <w:t xml:space="preserve"> закон</w:t>
      </w:r>
      <w:r>
        <w:rPr>
          <w:rFonts w:cs="Times New Roman" w:eastAsia="Times New Roman"/>
          <w:color w:val="000000"/>
          <w:sz w:val="26"/>
          <w:szCs w:val="28"/>
          <w:lang w:val="ru-RU"/>
        </w:rPr>
        <w:t xml:space="preserve">ом</w:t>
      </w:r>
      <w:r>
        <w:rPr>
          <w:rFonts w:cs="Times New Roman" w:eastAsia="Times New Roman"/>
          <w:color w:val="000000"/>
          <w:sz w:val="26"/>
          <w:szCs w:val="28"/>
          <w:lang w:val="ru-RU"/>
        </w:rPr>
        <w:t xml:space="preserve"> от 31 июля 2020 года № 248-ФЗ «О государственном контроле (надзоре) и муниципальном контроле в Российской Федерации» </w:t>
      </w:r>
      <w:r>
        <w:rPr>
          <w:rFonts w:cs="Times New Roman" w:eastAsia="Times New Roman"/>
          <w:color w:val="000000"/>
          <w:sz w:val="26"/>
          <w:szCs w:val="28"/>
          <w:lang w:val="ru-RU"/>
        </w:rPr>
        <w:t xml:space="preserve">Федеральным законом                от 20 марта 2025 года № 33-ФЗ «Об общих принципах организации местного самоуправления в единой системе публичной власти»</w:t>
      </w:r>
      <w:r>
        <w:rPr>
          <w:rFonts w:cs="Times New Roman" w:eastAsia="Times New Roman"/>
          <w:color w:val="000000"/>
          <w:sz w:val="26"/>
          <w:szCs w:val="28"/>
          <w:lang w:val="ru-RU"/>
        </w:rPr>
        <w:t xml:space="preserve"> </w:t>
      </w:r>
      <w:r>
        <w:rPr>
          <w:rFonts w:cs="Times New Roman" w:eastAsia="Times New Roman"/>
          <w:b/>
          <w:bCs/>
          <w:color w:val="000000"/>
          <w:sz w:val="26"/>
          <w:szCs w:val="28"/>
          <w:lang w:val="ru-RU"/>
        </w:rPr>
        <w:t xml:space="preserve">Совет депутатов Новооскольского муниципального округа  Белгородской области р е ш и л: </w:t>
      </w:r>
      <w:r>
        <w:rPr>
          <w:sz w:val="26"/>
        </w:rPr>
      </w:r>
      <w:r/>
    </w:p>
    <w:p>
      <w:pPr>
        <w:pStyle w:val="798"/>
        <w:ind w:left="0" w:right="0" w:firstLine="0"/>
        <w:jc w:val="both"/>
        <w:spacing w:lineRule="auto" w:line="240" w:after="0" w:before="0"/>
        <w:shd w:val="clear" w:fill="FFFFFF" w:color="auto"/>
        <w:rPr>
          <w:rFonts w:ascii="Times New Roman" w:hAnsi="Times New Roman" w:cs="Times New Roman" w:eastAsia="Times New Roman"/>
          <w:color w:val="000000"/>
          <w:sz w:val="26"/>
          <w:szCs w:val="28"/>
        </w:rPr>
      </w:pPr>
      <w:r>
        <w:rPr>
          <w:rFonts w:cs="Times New Roman" w:eastAsia="Times New Roman"/>
          <w:color w:val="000000"/>
          <w:sz w:val="26"/>
          <w:szCs w:val="28"/>
          <w:lang w:val="ru-RU"/>
        </w:rPr>
        <w:tab/>
        <w:t xml:space="preserve">1. Утвердить Положение о муниципальном земельном контроле в границах Новооскольского муниципального округа  (прилагается).</w:t>
      </w:r>
      <w:r>
        <w:rPr>
          <w:sz w:val="26"/>
        </w:rPr>
      </w:r>
      <w:r/>
    </w:p>
    <w:p>
      <w:pPr>
        <w:pStyle w:val="798"/>
        <w:jc w:val="both"/>
        <w:spacing w:lineRule="auto" w:line="240" w:after="0" w:before="0"/>
        <w:rPr>
          <w:rFonts w:ascii="Times New Roman" w:hAnsi="Times New Roman" w:cs="Times New Roman" w:eastAsia="Times New Roman"/>
          <w:color w:val="000000"/>
          <w:sz w:val="26"/>
          <w:szCs w:val="28"/>
        </w:rPr>
      </w:pPr>
      <w:r>
        <w:rPr>
          <w:rFonts w:cs="Times New Roman" w:eastAsia="Times New Roman"/>
          <w:color w:val="000000"/>
          <w:sz w:val="26"/>
          <w:szCs w:val="28"/>
          <w:lang w:val="ru-RU"/>
        </w:rPr>
        <w:tab/>
        <w:t xml:space="preserve">2. Признать утратившим силу решение Совета депутатов Новооскольского </w:t>
      </w:r>
      <w:r>
        <w:rPr>
          <w:rFonts w:cs="Times New Roman" w:eastAsia="Times New Roman"/>
          <w:color w:val="000000"/>
          <w:sz w:val="26"/>
          <w:szCs w:val="28"/>
          <w:lang w:val="ru-RU"/>
        </w:rPr>
        <w:t xml:space="preserve">муниципального</w:t>
      </w:r>
      <w:r>
        <w:rPr>
          <w:rFonts w:cs="Times New Roman" w:eastAsia="Times New Roman"/>
          <w:color w:val="000000"/>
          <w:sz w:val="26"/>
          <w:szCs w:val="28"/>
          <w:lang w:val="ru-RU"/>
        </w:rPr>
        <w:t xml:space="preserve"> округа от </w:t>
      </w:r>
      <w:r>
        <w:rPr>
          <w:rFonts w:cs="Times New Roman" w:eastAsia="Times New Roman"/>
          <w:color w:val="000000"/>
          <w:sz w:val="26"/>
          <w:szCs w:val="28"/>
          <w:lang w:val="ru-RU"/>
        </w:rPr>
        <w:t xml:space="preserve">24</w:t>
      </w:r>
      <w:r>
        <w:rPr>
          <w:rFonts w:cs="Times New Roman" w:eastAsia="Times New Roman"/>
          <w:color w:val="000000"/>
          <w:sz w:val="26"/>
          <w:szCs w:val="28"/>
          <w:lang w:val="ru-RU"/>
        </w:rPr>
        <w:t xml:space="preserve"> </w:t>
      </w:r>
      <w:r>
        <w:rPr>
          <w:rFonts w:cs="Times New Roman" w:eastAsia="Times New Roman"/>
          <w:color w:val="000000"/>
          <w:sz w:val="26"/>
          <w:szCs w:val="28"/>
          <w:lang w:val="ru-RU"/>
        </w:rPr>
        <w:t xml:space="preserve">декабря</w:t>
      </w:r>
      <w:r>
        <w:rPr>
          <w:rFonts w:cs="Times New Roman" w:eastAsia="Times New Roman"/>
          <w:color w:val="000000"/>
          <w:sz w:val="26"/>
          <w:szCs w:val="28"/>
          <w:lang w:val="ru-RU"/>
        </w:rPr>
        <w:t xml:space="preserve"> 2024 года № </w:t>
      </w:r>
      <w:r>
        <w:rPr>
          <w:rFonts w:cs="Times New Roman" w:eastAsia="Times New Roman"/>
          <w:color w:val="000000"/>
          <w:sz w:val="26"/>
          <w:szCs w:val="28"/>
          <w:lang w:val="ru-RU"/>
        </w:rPr>
        <w:t xml:space="preserve">267 </w:t>
      </w:r>
      <w:r>
        <w:rPr>
          <w:rFonts w:cs="Times New Roman" w:eastAsia="Times New Roman"/>
          <w:color w:val="000000"/>
          <w:sz w:val="26"/>
          <w:szCs w:val="28"/>
          <w:lang w:val="ru-RU"/>
        </w:rPr>
        <w:t xml:space="preserve"> «Об утверждении Положения о муниципальном земельном контроле в границах Новооскольского </w:t>
      </w:r>
      <w:r>
        <w:rPr>
          <w:rFonts w:cs="Times New Roman" w:eastAsia="Times New Roman"/>
          <w:color w:val="000000"/>
          <w:sz w:val="26"/>
          <w:szCs w:val="28"/>
          <w:lang w:val="ru-RU"/>
        </w:rPr>
        <w:t xml:space="preserve">муниципального</w:t>
      </w:r>
      <w:r>
        <w:rPr>
          <w:rFonts w:cs="Times New Roman" w:eastAsia="Times New Roman"/>
          <w:color w:val="000000"/>
          <w:sz w:val="26"/>
          <w:szCs w:val="28"/>
          <w:lang w:val="ru-RU"/>
        </w:rPr>
        <w:t xml:space="preserve"> округа».</w:t>
      </w:r>
      <w:r>
        <w:rPr>
          <w:sz w:val="26"/>
        </w:rPr>
      </w:r>
      <w:r/>
    </w:p>
    <w:p>
      <w:pPr>
        <w:pStyle w:val="798"/>
        <w:ind w:left="0" w:right="0" w:firstLine="709"/>
        <w:jc w:val="both"/>
        <w:spacing w:lineRule="auto" w:line="240" w:after="0" w:before="0"/>
        <w:rPr>
          <w:sz w:val="26"/>
        </w:rPr>
      </w:pPr>
      <w:r>
        <w:rPr>
          <w:rFonts w:cs="Times New Roman" w:eastAsia="Times New Roman"/>
          <w:color w:val="000000"/>
          <w:sz w:val="26"/>
          <w:szCs w:val="28"/>
          <w:lang w:val="ru-RU"/>
        </w:rPr>
        <w:t xml:space="preserve">3. Настоящее решение опубликовать </w:t>
      </w:r>
      <w:r>
        <w:rPr>
          <w:rFonts w:cs="Times New Roman" w:eastAsia="Times New Roman"/>
          <w:color w:val="000000"/>
          <w:sz w:val="26"/>
          <w:szCs w:val="28"/>
          <w:lang w:val="ru-RU"/>
        </w:rPr>
        <w:t xml:space="preserve">в</w:t>
      </w:r>
      <w:r>
        <w:rPr>
          <w:rFonts w:cs="Times New Roman" w:eastAsia="Times New Roman"/>
          <w:color w:val="000000"/>
          <w:sz w:val="26"/>
          <w:szCs w:val="28"/>
          <w:lang w:val="ru-RU"/>
        </w:rPr>
        <w:t xml:space="preserve"> </w:t>
      </w:r>
      <w:r>
        <w:rPr>
          <w:rFonts w:cs="Times New Roman" w:eastAsia="Times New Roman"/>
          <w:color w:val="000000"/>
          <w:sz w:val="26"/>
          <w:szCs w:val="28"/>
          <w:lang w:val="ru-RU"/>
        </w:rPr>
        <w:t xml:space="preserve">сетевом издании</w:t>
      </w:r>
      <w:r>
        <w:rPr>
          <w:rFonts w:cs="Times New Roman" w:eastAsia="Times New Roman"/>
          <w:color w:val="000000"/>
          <w:sz w:val="26"/>
          <w:szCs w:val="28"/>
          <w:lang w:val="ru-RU"/>
        </w:rPr>
        <w:t xml:space="preserve"> </w:t>
      </w:r>
      <w:r>
        <w:rPr>
          <w:rFonts w:cs="Times New Roman" w:eastAsia="Times New Roman"/>
          <w:color w:val="000000"/>
          <w:sz w:val="26"/>
          <w:szCs w:val="28"/>
          <w:lang w:val="ru-RU"/>
        </w:rPr>
        <w:t xml:space="preserve">«Вперёд </w:t>
      </w:r>
      <w:r>
        <w:rPr>
          <w:rFonts w:cs="Times New Roman" w:eastAsia="Times New Roman"/>
          <w:color w:val="000000"/>
          <w:sz w:val="26"/>
          <w:szCs w:val="28"/>
          <w:lang w:val="ru-RU"/>
        </w:rPr>
        <w:t xml:space="preserve">Новооскольская газета</w:t>
      </w:r>
      <w:r>
        <w:rPr>
          <w:rFonts w:cs="Times New Roman" w:eastAsia="Times New Roman"/>
          <w:color w:val="000000"/>
          <w:sz w:val="26"/>
          <w:szCs w:val="28"/>
          <w:lang w:val="ru-RU"/>
        </w:rPr>
        <w:t xml:space="preserve">» </w:t>
      </w:r>
      <w:r>
        <w:rPr>
          <w:rFonts w:cs="Times New Roman" w:eastAsia="Times New Roman"/>
          <w:color w:val="000000"/>
          <w:sz w:val="26"/>
          <w:szCs w:val="28"/>
          <w:lang w:val="ru-RU"/>
        </w:rPr>
        <w:t xml:space="preserve">(no-vpered.ru)</w:t>
      </w:r>
      <w:r>
        <w:rPr>
          <w:rFonts w:cs="Times New Roman" w:eastAsia="Times New Roman"/>
          <w:color w:val="000000"/>
          <w:sz w:val="26"/>
          <w:szCs w:val="28"/>
          <w:lang w:val="ru-RU"/>
        </w:rPr>
        <w:t xml:space="preserve"> и</w:t>
      </w:r>
      <w:r>
        <w:rPr>
          <w:rFonts w:cs="Times New Roman" w:eastAsia="Times New Roman"/>
          <w:color w:val="000000"/>
          <w:sz w:val="26"/>
          <w:szCs w:val="28"/>
          <w:lang w:val="ru-RU"/>
        </w:rPr>
        <w:t xml:space="preserve"> разместить на официальном сайте органов местного самоуправления Новооскольского муниципального округа (novyjoskol-r31.gosweb.gosuslugi.ru) в информационно - телекоммуникационной сети «Интернет».</w:t>
      </w:r>
      <w:r>
        <w:rPr>
          <w:sz w:val="26"/>
        </w:rPr>
      </w:r>
      <w:r/>
    </w:p>
    <w:p>
      <w:pPr>
        <w:pStyle w:val="798"/>
        <w:ind w:left="0" w:right="0" w:firstLine="709"/>
        <w:jc w:val="both"/>
        <w:spacing w:lineRule="auto" w:line="240" w:after="0" w:before="0"/>
        <w:rPr>
          <w:rFonts w:cs="Times New Roman" w:eastAsia="Times New Roman"/>
          <w:color w:val="000000"/>
          <w:sz w:val="26"/>
          <w:szCs w:val="28"/>
          <w:highlight w:val="none"/>
        </w:rPr>
      </w:pPr>
      <w:r>
        <w:rPr>
          <w:rFonts w:cs="Times New Roman" w:eastAsia="Times New Roman"/>
          <w:color w:val="000000"/>
          <w:sz w:val="26"/>
          <w:szCs w:val="28"/>
          <w:lang w:val="ru-RU"/>
        </w:rPr>
        <w:t xml:space="preserve">4. Контроль за исполнением настоящего решения возложить  на постоянную комиссию Совета депутатов Новооскольского муниципального округа по агропромышленному комплексу, имущественным и земельным отношениям (Калинин А.Ф.).</w:t>
      </w:r>
      <w:r>
        <w:rPr>
          <w:sz w:val="26"/>
        </w:rPr>
      </w:r>
      <w:r/>
    </w:p>
    <w:p>
      <w:pPr>
        <w:pStyle w:val="798"/>
        <w:ind w:left="0" w:right="0" w:firstLine="709"/>
        <w:jc w:val="both"/>
        <w:spacing w:lineRule="auto" w:line="240" w:after="0" w:before="0"/>
        <w:shd w:val="clear" w:fill="FFFFFF" w:color="auto"/>
        <w:tabs>
          <w:tab w:val="clear" w:pos="709" w:leader="none"/>
          <w:tab w:val="left" w:pos="1133" w:leader="none"/>
        </w:tabs>
        <w:rPr>
          <w:rFonts w:ascii="Times New Roman" w:hAnsi="Times New Roman" w:cs="Times New Roman" w:eastAsia="Times New Roman"/>
          <w:color w:val="000000"/>
          <w:sz w:val="26"/>
          <w:szCs w:val="28"/>
        </w:rPr>
      </w:pPr>
      <w:r>
        <w:rPr>
          <w:rFonts w:cs="Times New Roman" w:eastAsia="Times New Roman"/>
          <w:color w:val="000000"/>
          <w:sz w:val="26"/>
          <w:szCs w:val="28"/>
          <w:lang w:val="ru-RU"/>
        </w:rPr>
        <w:t xml:space="preserve">5. Настоящее решение вступает в силу после дня его официального опубликования.</w:t>
      </w:r>
      <w:r>
        <w:rPr>
          <w:sz w:val="26"/>
        </w:rPr>
      </w:r>
      <w:r/>
    </w:p>
    <w:p>
      <w:pPr>
        <w:pStyle w:val="937"/>
        <w:jc w:val="both"/>
        <w:spacing w:lineRule="auto" w:line="240" w:after="0" w:before="0"/>
        <w:rPr>
          <w:sz w:val="26"/>
          <w:szCs w:val="28"/>
        </w:rPr>
      </w:pPr>
      <w:r>
        <w:rPr>
          <w:sz w:val="26"/>
          <w:szCs w:val="28"/>
        </w:rPr>
      </w:r>
      <w:r>
        <w:rPr>
          <w:sz w:val="26"/>
        </w:rPr>
      </w:r>
      <w:r/>
    </w:p>
    <w:p>
      <w:pPr>
        <w:pStyle w:val="937"/>
        <w:jc w:val="both"/>
        <w:spacing w:lineRule="auto" w:line="240" w:after="0" w:before="0"/>
        <w:rPr>
          <w:sz w:val="26"/>
          <w:szCs w:val="28"/>
        </w:rPr>
      </w:pPr>
      <w:r>
        <w:rPr>
          <w:sz w:val="26"/>
          <w:szCs w:val="28"/>
        </w:rPr>
      </w:r>
      <w:r>
        <w:rPr>
          <w:sz w:val="26"/>
        </w:rPr>
      </w:r>
      <w:r/>
    </w:p>
    <w:p>
      <w:pPr>
        <w:pStyle w:val="937"/>
        <w:jc w:val="both"/>
        <w:spacing w:lineRule="auto" w:line="240" w:after="0" w:before="0"/>
        <w:rPr>
          <w:b/>
          <w:sz w:val="26"/>
        </w:rPr>
      </w:pPr>
      <w:r>
        <w:rPr>
          <w:b/>
          <w:sz w:val="26"/>
          <w:szCs w:val="28"/>
        </w:rPr>
        <w:t xml:space="preserve">       </w:t>
      </w:r>
      <w:r>
        <w:rPr>
          <w:b/>
          <w:sz w:val="26"/>
          <w:szCs w:val="28"/>
        </w:rPr>
        <w:t xml:space="preserve">Председатель Совета депутатов</w:t>
      </w:r>
      <w:r>
        <w:rPr>
          <w:sz w:val="26"/>
        </w:rPr>
      </w:r>
      <w:r/>
    </w:p>
    <w:p>
      <w:pPr>
        <w:pStyle w:val="937"/>
        <w:jc w:val="both"/>
        <w:spacing w:lineRule="auto" w:line="240" w:after="0" w:before="0"/>
        <w:rPr>
          <w:b/>
          <w:sz w:val="26"/>
          <w:szCs w:val="28"/>
          <w:highlight w:val="none"/>
        </w:rPr>
      </w:pPr>
      <w:r>
        <w:rPr>
          <w:b/>
          <w:sz w:val="26"/>
          <w:szCs w:val="28"/>
        </w:rPr>
        <w:t xml:space="preserve">Новооскольского </w:t>
      </w:r>
      <w:r>
        <w:rPr>
          <w:b/>
          <w:sz w:val="26"/>
          <w:szCs w:val="28"/>
        </w:rPr>
        <w:t xml:space="preserve">муниципального</w:t>
      </w:r>
      <w:r>
        <w:rPr>
          <w:b/>
          <w:sz w:val="26"/>
          <w:szCs w:val="28"/>
        </w:rPr>
        <w:t xml:space="preserve"> округа                                                 А.И. Попова</w:t>
      </w:r>
      <w:r>
        <w:rPr>
          <w:sz w:val="26"/>
        </w:rPr>
      </w:r>
      <w:r/>
    </w:p>
    <w:p>
      <w:pPr>
        <w:pStyle w:val="937"/>
        <w:jc w:val="both"/>
        <w:spacing w:lineRule="auto" w:line="240" w:after="0" w:before="0"/>
        <w:rPr>
          <w:sz w:val="26"/>
          <w:szCs w:val="28"/>
        </w:rPr>
      </w:pPr>
      <w:r>
        <w:rPr>
          <w:b/>
          <w:sz w:val="26"/>
          <w:szCs w:val="28"/>
          <w:highlight w:val="none"/>
        </w:rPr>
      </w:r>
      <w:r>
        <w:rPr>
          <w:b/>
          <w:sz w:val="26"/>
          <w:szCs w:val="28"/>
          <w:highlight w:val="none"/>
        </w:rPr>
      </w:r>
    </w:p>
    <w:p>
      <w:pPr>
        <w:pStyle w:val="939"/>
        <w:jc w:val="center"/>
        <w:spacing w:lineRule="auto" w:line="240" w:after="0" w:before="0"/>
        <w:tabs>
          <w:tab w:val="clear" w:pos="709" w:leader="none"/>
          <w:tab w:val="left" w:pos="5528" w:leader="none"/>
        </w:tabs>
        <w:rPr>
          <w:sz w:val="28"/>
        </w:rPr>
      </w:pPr>
      <w:r>
        <w:rPr>
          <w:sz w:val="28"/>
          <w:szCs w:val="28"/>
        </w:rPr>
        <w:t xml:space="preserve">                                                           </w:t>
      </w:r>
      <w:r>
        <w:rPr>
          <w:sz w:val="28"/>
          <w:szCs w:val="28"/>
        </w:rPr>
      </w:r>
      <w:r/>
    </w:p>
    <w:tbl>
      <w:tblPr>
        <w:tblW w:w="5236" w:type="dxa"/>
        <w:tblInd w:w="4448" w:type="dxa"/>
        <w:tblLayout w:type="fixed"/>
        <w:tblCellMar>
          <w:left w:w="55" w:type="dxa"/>
          <w:top w:w="55" w:type="dxa"/>
          <w:right w:w="55" w:type="dxa"/>
          <w:bottom w:w="55" w:type="dxa"/>
        </w:tblCellMar>
        <w:tblLook w:val="04A0" w:firstRow="1" w:lastRow="0" w:firstColumn="1" w:lastColumn="0" w:noHBand="0" w:noVBand="1"/>
      </w:tblPr>
      <w:tblGrid>
        <w:gridCol w:w="5236"/>
      </w:tblGrid>
      <w:tr>
        <w:trPr/>
        <w:tc>
          <w:tcPr>
            <w:tcW w:w="5236" w:type="dxa"/>
            <w:textDirection w:val="lrTb"/>
            <w:noWrap w:val="false"/>
          </w:tcPr>
          <w:p>
            <w:pPr>
              <w:pStyle w:val="798"/>
              <w:jc w:val="center"/>
              <w:spacing w:lineRule="auto" w:line="240" w:after="0" w:before="0"/>
              <w:tabs>
                <w:tab w:val="clear" w:pos="709" w:leader="none"/>
                <w:tab w:val="left" w:pos="5528" w:leader="none"/>
              </w:tabs>
              <w:rPr>
                <w:b/>
                <w:sz w:val="26"/>
              </w:rPr>
            </w:pPr>
            <w:r>
              <w:rPr>
                <w:b/>
                <w:sz w:val="26"/>
                <w:szCs w:val="28"/>
              </w:rPr>
              <w:t xml:space="preserve">Приложение</w:t>
            </w:r>
            <w:r>
              <w:rPr>
                <w:sz w:val="26"/>
              </w:rPr>
            </w:r>
            <w:r/>
          </w:p>
          <w:p>
            <w:pPr>
              <w:pStyle w:val="939"/>
              <w:jc w:val="center"/>
              <w:spacing w:lineRule="auto" w:line="240" w:after="0" w:before="0"/>
              <w:tabs>
                <w:tab w:val="clear" w:pos="709" w:leader="none"/>
                <w:tab w:val="left" w:pos="5528" w:leader="none"/>
              </w:tabs>
              <w:rPr>
                <w:b/>
                <w:sz w:val="26"/>
                <w:szCs w:val="28"/>
              </w:rPr>
            </w:pPr>
            <w:r>
              <w:rPr>
                <w:b/>
                <w:sz w:val="26"/>
                <w:szCs w:val="28"/>
              </w:rPr>
            </w:r>
            <w:r>
              <w:rPr>
                <w:sz w:val="26"/>
              </w:rPr>
            </w:r>
            <w:r/>
          </w:p>
          <w:p>
            <w:pPr>
              <w:pStyle w:val="939"/>
              <w:jc w:val="center"/>
              <w:spacing w:lineRule="auto" w:line="240" w:after="0" w:before="0"/>
              <w:tabs>
                <w:tab w:val="clear" w:pos="709" w:leader="none"/>
                <w:tab w:val="left" w:pos="5528" w:leader="none"/>
              </w:tabs>
              <w:rPr>
                <w:b/>
                <w:sz w:val="26"/>
                <w:szCs w:val="28"/>
              </w:rPr>
            </w:pPr>
            <w:r>
              <w:rPr>
                <w:b/>
                <w:sz w:val="26"/>
                <w:szCs w:val="28"/>
              </w:rPr>
              <w:t xml:space="preserve">УТВЕРЖДЕНО</w:t>
            </w:r>
            <w:r>
              <w:rPr>
                <w:sz w:val="26"/>
              </w:rPr>
            </w:r>
            <w:r/>
          </w:p>
          <w:p>
            <w:pPr>
              <w:pStyle w:val="939"/>
              <w:jc w:val="center"/>
              <w:spacing w:lineRule="auto" w:line="240" w:after="0" w:before="0"/>
              <w:tabs>
                <w:tab w:val="clear" w:pos="709" w:leader="none"/>
                <w:tab w:val="left" w:pos="5528" w:leader="none"/>
              </w:tabs>
              <w:rPr>
                <w:b/>
                <w:sz w:val="26"/>
                <w:szCs w:val="28"/>
              </w:rPr>
            </w:pPr>
            <w:r>
              <w:rPr>
                <w:b/>
                <w:sz w:val="26"/>
                <w:szCs w:val="28"/>
              </w:rPr>
              <w:t xml:space="preserve">решением Совета депутатов Новооскольского муниципального округа </w:t>
            </w:r>
            <w:r>
              <w:rPr>
                <w:b/>
                <w:sz w:val="26"/>
                <w:szCs w:val="28"/>
              </w:rPr>
              <w:t xml:space="preserve">Белгородской области</w:t>
            </w:r>
            <w:r>
              <w:rPr>
                <w:sz w:val="26"/>
              </w:rPr>
            </w:r>
            <w:r/>
          </w:p>
          <w:p>
            <w:pPr>
              <w:pStyle w:val="939"/>
              <w:jc w:val="center"/>
              <w:spacing w:lineRule="auto" w:line="240" w:after="0" w:before="0"/>
              <w:tabs>
                <w:tab w:val="clear" w:pos="709" w:leader="none"/>
                <w:tab w:val="left" w:pos="5528" w:leader="none"/>
              </w:tabs>
              <w:rPr>
                <w:b/>
                <w:sz w:val="26"/>
                <w:szCs w:val="28"/>
              </w:rPr>
            </w:pPr>
            <w:r>
              <w:rPr>
                <w:b/>
                <w:sz w:val="26"/>
                <w:szCs w:val="28"/>
              </w:rPr>
              <w:t xml:space="preserve"> </w:t>
            </w:r>
            <w:r>
              <w:rPr>
                <w:b/>
                <w:sz w:val="26"/>
                <w:szCs w:val="28"/>
              </w:rPr>
              <w:t xml:space="preserve">от 28 </w:t>
            </w:r>
            <w:r>
              <w:rPr>
                <w:b/>
                <w:sz w:val="26"/>
                <w:szCs w:val="28"/>
              </w:rPr>
              <w:t xml:space="preserve">апреля</w:t>
            </w:r>
            <w:r>
              <w:rPr>
                <w:b/>
                <w:sz w:val="26"/>
                <w:szCs w:val="28"/>
              </w:rPr>
              <w:t xml:space="preserve"> 202</w:t>
            </w:r>
            <w:r>
              <w:rPr>
                <w:b/>
                <w:sz w:val="26"/>
                <w:szCs w:val="28"/>
              </w:rPr>
              <w:t xml:space="preserve">6</w:t>
            </w:r>
            <w:r>
              <w:rPr>
                <w:b/>
                <w:sz w:val="26"/>
                <w:szCs w:val="28"/>
              </w:rPr>
              <w:t xml:space="preserve"> года  № </w:t>
            </w:r>
            <w:r>
              <w:rPr>
                <w:b/>
                <w:sz w:val="26"/>
                <w:szCs w:val="28"/>
              </w:rPr>
              <w:t xml:space="preserve">504</w:t>
            </w:r>
            <w:r/>
          </w:p>
          <w:p>
            <w:pPr>
              <w:pStyle w:val="939"/>
              <w:ind w:left="5101" w:right="0" w:hanging="226"/>
              <w:jc w:val="left"/>
              <w:spacing w:lineRule="auto" w:line="240" w:after="0" w:before="0"/>
              <w:tabs>
                <w:tab w:val="clear" w:pos="709" w:leader="none"/>
                <w:tab w:val="left" w:pos="15470" w:leader="none"/>
              </w:tabs>
              <w:rPr>
                <w:sz w:val="26"/>
                <w:szCs w:val="28"/>
              </w:rPr>
            </w:pPr>
            <w:r>
              <w:rPr>
                <w:sz w:val="26"/>
                <w:szCs w:val="28"/>
              </w:rPr>
            </w:r>
            <w:r>
              <w:rPr>
                <w:sz w:val="26"/>
              </w:rPr>
            </w:r>
            <w:r/>
          </w:p>
        </w:tc>
      </w:tr>
    </w:tbl>
    <w:p>
      <w:pPr>
        <w:pStyle w:val="798"/>
        <w:jc w:val="center"/>
        <w:spacing w:lineRule="auto" w:line="240"/>
        <w:rPr>
          <w:sz w:val="26"/>
          <w:szCs w:val="28"/>
        </w:rPr>
      </w:pPr>
      <w:r>
        <w:rPr>
          <w:sz w:val="26"/>
          <w:szCs w:val="28"/>
        </w:rPr>
      </w:r>
      <w:r>
        <w:rPr>
          <w:sz w:val="26"/>
        </w:rPr>
      </w:r>
      <w:r/>
    </w:p>
    <w:p>
      <w:pPr>
        <w:pStyle w:val="798"/>
        <w:jc w:val="center"/>
        <w:spacing w:lineRule="auto" w:line="240"/>
        <w:rPr>
          <w:sz w:val="26"/>
          <w:szCs w:val="28"/>
        </w:rPr>
      </w:pPr>
      <w:r>
        <w:rPr>
          <w:sz w:val="26"/>
          <w:szCs w:val="28"/>
        </w:rPr>
      </w:r>
      <w:r>
        <w:rPr>
          <w:sz w:val="26"/>
        </w:rPr>
      </w:r>
      <w:r/>
    </w:p>
    <w:p>
      <w:pPr>
        <w:pStyle w:val="798"/>
        <w:jc w:val="center"/>
        <w:spacing w:lineRule="auto" w:line="240"/>
        <w:rPr>
          <w:sz w:val="26"/>
          <w:szCs w:val="28"/>
        </w:rPr>
      </w:pPr>
      <w:r>
        <w:rPr>
          <w:sz w:val="26"/>
          <w:szCs w:val="28"/>
        </w:rPr>
      </w:r>
      <w:r>
        <w:rPr>
          <w:sz w:val="26"/>
        </w:rPr>
      </w:r>
      <w:r/>
    </w:p>
    <w:p>
      <w:pPr>
        <w:pStyle w:val="798"/>
        <w:jc w:val="center"/>
        <w:spacing w:lineRule="auto" w:line="240"/>
        <w:rPr>
          <w:b/>
          <w:color w:val="000000"/>
          <w:sz w:val="26"/>
        </w:rPr>
      </w:pPr>
      <w:r>
        <w:rPr>
          <w:b/>
          <w:color w:val="000000"/>
          <w:sz w:val="26"/>
          <w:szCs w:val="28"/>
        </w:rPr>
        <w:t xml:space="preserve">Положение о муниципальном земельном контроле</w:t>
      </w:r>
      <w:r>
        <w:rPr>
          <w:sz w:val="26"/>
        </w:rPr>
      </w:r>
      <w:r/>
    </w:p>
    <w:p>
      <w:pPr>
        <w:pStyle w:val="798"/>
        <w:jc w:val="center"/>
        <w:spacing w:lineRule="auto" w:line="240"/>
        <w:rPr>
          <w:sz w:val="26"/>
          <w:szCs w:val="28"/>
        </w:rPr>
      </w:pPr>
      <w:r>
        <w:rPr>
          <w:b/>
          <w:color w:val="000000"/>
          <w:sz w:val="26"/>
          <w:szCs w:val="28"/>
        </w:rPr>
        <w:t xml:space="preserve">в границах Новооскольского </w:t>
      </w:r>
      <w:r>
        <w:rPr>
          <w:b/>
          <w:color w:val="000000"/>
          <w:sz w:val="26"/>
          <w:szCs w:val="28"/>
        </w:rPr>
        <w:t xml:space="preserve">муниципального</w:t>
      </w:r>
      <w:r>
        <w:rPr>
          <w:b/>
          <w:color w:val="000000"/>
          <w:sz w:val="26"/>
          <w:szCs w:val="28"/>
        </w:rPr>
        <w:t xml:space="preserve"> округа</w:t>
      </w:r>
      <w:r>
        <w:rPr>
          <w:sz w:val="26"/>
        </w:rPr>
      </w:r>
      <w:r/>
    </w:p>
    <w:p>
      <w:pPr>
        <w:pStyle w:val="798"/>
        <w:jc w:val="center"/>
        <w:spacing w:lineRule="auto" w:line="240"/>
        <w:rPr>
          <w:sz w:val="26"/>
          <w:szCs w:val="28"/>
        </w:rPr>
      </w:pPr>
      <w:r>
        <w:rPr>
          <w:sz w:val="26"/>
          <w:szCs w:val="28"/>
        </w:rPr>
      </w:r>
      <w:r>
        <w:rPr>
          <w:sz w:val="26"/>
        </w:rPr>
      </w:r>
      <w:r/>
    </w:p>
    <w:p>
      <w:pPr>
        <w:pStyle w:val="924"/>
        <w:ind w:firstLine="709"/>
        <w:jc w:val="center"/>
        <w:spacing w:lineRule="auto" w:line="240"/>
        <w:rPr>
          <w:rFonts w:ascii="Times New Roman" w:hAnsi="Times New Roman" w:cs="Times New Roman"/>
          <w:b/>
          <w:bCs/>
          <w:sz w:val="26"/>
          <w:szCs w:val="28"/>
          <w:highlight w:val="none"/>
        </w:rPr>
      </w:pPr>
      <w:r>
        <w:rPr>
          <w:rFonts w:ascii="Times New Roman" w:hAnsi="Times New Roman" w:cs="Times New Roman"/>
          <w:b/>
          <w:bCs/>
          <w:sz w:val="26"/>
          <w:szCs w:val="28"/>
        </w:rPr>
        <w:t xml:space="preserve">Раздел 1. Общие положения</w:t>
      </w:r>
      <w:r>
        <w:rPr>
          <w:sz w:val="26"/>
        </w:rPr>
      </w:r>
      <w:r/>
    </w:p>
    <w:p>
      <w:pPr>
        <w:pStyle w:val="924"/>
        <w:ind w:firstLine="709"/>
        <w:jc w:val="center"/>
        <w:spacing w:lineRule="auto" w:line="240"/>
        <w:rPr>
          <w:rFonts w:ascii="Times New Roman" w:hAnsi="Times New Roman" w:cs="Times New Roman"/>
          <w:b/>
          <w:sz w:val="26"/>
          <w:szCs w:val="28"/>
        </w:rPr>
      </w:pPr>
      <w:r>
        <w:rPr>
          <w:rFonts w:ascii="Times New Roman" w:hAnsi="Times New Roman" w:cs="Times New Roman"/>
          <w:b/>
          <w:bCs/>
          <w:sz w:val="26"/>
          <w:szCs w:val="28"/>
          <w:highlight w:val="none"/>
        </w:rPr>
      </w:r>
      <w:r>
        <w:rPr>
          <w:rFonts w:ascii="Times New Roman" w:hAnsi="Times New Roman" w:cs="Times New Roman"/>
          <w:b/>
          <w:bCs/>
          <w:sz w:val="26"/>
          <w:szCs w:val="28"/>
          <w:highlight w:val="none"/>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1.1. </w:t>
      </w:r>
      <w:r>
        <w:rPr>
          <w:rFonts w:ascii="Times New Roman" w:hAnsi="Times New Roman" w:cs="Times New Roman"/>
          <w:sz w:val="26"/>
          <w:szCs w:val="28"/>
        </w:rPr>
        <w:t xml:space="preserve">Настоящее Положение о муниципальном земельном контроле в границах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Белгородской области (далее – Положение) устанавливает порядок организации и осуществления муниципального земельного контроля в границах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Белгородской области (далее также – </w:t>
      </w:r>
      <w:r>
        <w:rPr>
          <w:rFonts w:ascii="Times New Roman" w:hAnsi="Times New Roman" w:cs="Times New Roman"/>
          <w:sz w:val="26"/>
          <w:szCs w:val="28"/>
        </w:rPr>
        <w:t xml:space="preserve">Новооскольский</w:t>
      </w:r>
      <w:r>
        <w:rPr>
          <w:rFonts w:ascii="Times New Roman" w:hAnsi="Times New Roman" w:cs="Times New Roman"/>
          <w:sz w:val="26"/>
          <w:szCs w:val="28"/>
        </w:rPr>
        <w:t xml:space="preserve"> муниципальный округ).</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1.2. </w:t>
      </w:r>
      <w:r>
        <w:rPr>
          <w:rFonts w:ascii="Times New Roman" w:hAnsi="Times New Roman" w:cs="Times New Roman"/>
          <w:sz w:val="26"/>
          <w:szCs w:val="28"/>
        </w:rPr>
        <w:t xml:space="preserve">К отношениям, связанным с осуществлением муниципального земельного контроля в границах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применяются положения Федерального закона от 31 </w:t>
      </w:r>
      <w:r>
        <w:rPr>
          <w:rFonts w:ascii="Times New Roman" w:hAnsi="Times New Roman" w:cs="Times New Roman"/>
          <w:sz w:val="26"/>
          <w:szCs w:val="28"/>
        </w:rPr>
        <w:t xml:space="preserve">июля</w:t>
      </w:r>
      <w:r>
        <w:rPr>
          <w:rFonts w:ascii="Times New Roman" w:hAnsi="Times New Roman" w:cs="Times New Roman"/>
          <w:sz w:val="26"/>
          <w:szCs w:val="28"/>
        </w:rPr>
        <w:t xml:space="preserve"> 2020 г</w:t>
      </w:r>
      <w:r>
        <w:rPr>
          <w:rFonts w:ascii="Times New Roman" w:hAnsi="Times New Roman" w:cs="Times New Roman"/>
          <w:sz w:val="26"/>
          <w:szCs w:val="28"/>
        </w:rPr>
        <w:t xml:space="preserve">ода</w:t>
      </w:r>
      <w:r>
        <w:rPr>
          <w:rFonts w:ascii="Times New Roman" w:hAnsi="Times New Roman" w:cs="Times New Roman"/>
          <w:sz w:val="26"/>
          <w:szCs w:val="28"/>
        </w:rPr>
        <w:t xml:space="preserve"> № 248-ФЗ                                 «О государственном контроле (надзоре) и муниципальном контроле» (далее – Федеральный закон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1.3. </w:t>
      </w:r>
      <w:r>
        <w:rPr>
          <w:rFonts w:ascii="Times New Roman" w:hAnsi="Times New Roman" w:cs="Times New Roman"/>
          <w:sz w:val="26"/>
          <w:szCs w:val="28"/>
        </w:rPr>
        <w:t xml:space="preserve">Муниципальный земельный контроль осущес</w:t>
      </w:r>
      <w:r>
        <w:rPr>
          <w:rFonts w:ascii="Times New Roman" w:hAnsi="Times New Roman" w:cs="Times New Roman"/>
          <w:sz w:val="26"/>
          <w:szCs w:val="28"/>
        </w:rPr>
        <w:t xml:space="preserve">твляе</w:t>
      </w:r>
      <w:r>
        <w:rPr>
          <w:rFonts w:ascii="Times New Roman" w:hAnsi="Times New Roman" w:cs="Times New Roman"/>
          <w:sz w:val="26"/>
          <w:szCs w:val="28"/>
        </w:rPr>
        <w:t xml:space="preserve">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проверяемых обязательных требований), интенсивность и результаты.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1.4. </w:t>
      </w:r>
      <w:r>
        <w:rPr>
          <w:rFonts w:ascii="Times New Roman" w:hAnsi="Times New Roman" w:cs="Times New Roman"/>
          <w:sz w:val="26"/>
          <w:szCs w:val="28"/>
        </w:rPr>
        <w:t xml:space="preserve">Предметом муниципального земельного контроля на территории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(далее – муниципальный контроль) является соблюдение в границах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w:t>
      </w:r>
      <w:r>
        <w:rPr>
          <w:rFonts w:ascii="Times New Roman" w:hAnsi="Times New Roman" w:cs="Times New Roman"/>
          <w:sz w:val="26"/>
          <w:szCs w:val="28"/>
        </w:rPr>
        <w:t xml:space="preserve">руга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1.5. </w:t>
      </w:r>
      <w:r>
        <w:rPr>
          <w:rFonts w:ascii="Times New Roman" w:hAnsi="Times New Roman" w:cs="Times New Roman"/>
          <w:sz w:val="26"/>
          <w:szCs w:val="28"/>
        </w:rPr>
        <w:t xml:space="preserve">Контрольным органом, уполномоченным на осуществление муниципального контроля в границах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является Администрация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Белгородской области (далее – Администрация </w:t>
      </w:r>
      <w:r>
        <w:rPr>
          <w:rFonts w:ascii="Times New Roman" w:hAnsi="Times New Roman" w:cs="Times New Roman"/>
          <w:sz w:val="26"/>
          <w:szCs w:val="28"/>
        </w:rPr>
        <w:t xml:space="preserve">Новооскольского муниципального округа)</w:t>
      </w:r>
      <w:r>
        <w:rPr>
          <w:rFonts w:ascii="Times New Roman" w:hAnsi="Times New Roman" w:cs="Times New Roman"/>
          <w:sz w:val="26"/>
          <w:szCs w:val="28"/>
        </w:rPr>
        <w:t xml:space="preserve"> в лице </w:t>
      </w:r>
      <w:r>
        <w:rPr>
          <w:rFonts w:ascii="Times New Roman" w:hAnsi="Times New Roman" w:cs="Times New Roman"/>
          <w:sz w:val="26"/>
          <w:szCs w:val="28"/>
        </w:rPr>
        <w:t xml:space="preserve">у</w:t>
      </w:r>
      <w:r>
        <w:rPr>
          <w:rFonts w:ascii="Times New Roman" w:hAnsi="Times New Roman" w:cs="Times New Roman"/>
          <w:sz w:val="26"/>
          <w:szCs w:val="28"/>
        </w:rPr>
        <w:t xml:space="preserve">правления имущественных и земельных отношений </w:t>
      </w:r>
      <w:r>
        <w:rPr>
          <w:rFonts w:ascii="Times New Roman" w:hAnsi="Times New Roman" w:cs="Times New Roman"/>
          <w:sz w:val="26"/>
          <w:szCs w:val="28"/>
        </w:rPr>
        <w:t xml:space="preserve">Администрации Новооскольского муниципального округа Белгородской области (далее — орган муниципального контроля)</w:t>
      </w:r>
      <w:r>
        <w:rPr>
          <w:rFonts w:ascii="Times New Roman" w:hAnsi="Times New Roman" w:cs="Times New Roman"/>
          <w:sz w:val="26"/>
          <w:szCs w:val="28"/>
        </w:rPr>
        <w:t xml:space="preserve">.</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1.6. </w:t>
      </w:r>
      <w:r>
        <w:rPr>
          <w:rFonts w:ascii="Times New Roman" w:hAnsi="Times New Roman" w:cs="Times New Roman"/>
          <w:sz w:val="26"/>
          <w:szCs w:val="28"/>
        </w:rPr>
        <w:t xml:space="preserve">Должностными лицами, уполномоченными на осуществление муниципального контроля (далее – инспекторы), являются: начальник отдела м</w:t>
      </w:r>
      <w:r>
        <w:rPr>
          <w:rFonts w:ascii="Times New Roman" w:hAnsi="Times New Roman" w:cs="Times New Roman"/>
          <w:sz w:val="26"/>
          <w:szCs w:val="28"/>
        </w:rPr>
        <w:t xml:space="preserve">униципального земельного контроля</w:t>
      </w:r>
      <w:r>
        <w:rPr>
          <w:rFonts w:ascii="Times New Roman" w:hAnsi="Times New Roman" w:cs="Times New Roman"/>
          <w:sz w:val="26"/>
          <w:szCs w:val="28"/>
        </w:rPr>
        <w:t xml:space="preserve"> управления имущественных и земельных отношений Администрации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главный специалист отдела м</w:t>
      </w:r>
      <w:r>
        <w:rPr>
          <w:rFonts w:ascii="Times New Roman" w:hAnsi="Times New Roman" w:cs="Times New Roman"/>
          <w:sz w:val="26"/>
          <w:szCs w:val="28"/>
        </w:rPr>
        <w:t xml:space="preserve">униципального земельного контроля</w:t>
      </w:r>
      <w:r>
        <w:rPr>
          <w:rFonts w:ascii="Times New Roman" w:hAnsi="Times New Roman" w:cs="Times New Roman"/>
          <w:sz w:val="26"/>
          <w:szCs w:val="28"/>
        </w:rPr>
        <w:t xml:space="preserve"> управления имущественных и земельных отношений Администрации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1.7. </w:t>
      </w:r>
      <w:r>
        <w:rPr>
          <w:rFonts w:ascii="Times New Roman" w:hAnsi="Times New Roman" w:cs="Times New Roman"/>
          <w:sz w:val="26"/>
          <w:szCs w:val="28"/>
        </w:rPr>
        <w:t xml:space="preserve">Должностным лицом, уполномоченным на принятие решения о проведении контрольных мероприятий, является </w:t>
      </w:r>
      <w:r>
        <w:rPr>
          <w:rFonts w:ascii="Times New Roman" w:hAnsi="Times New Roman" w:cs="Times New Roman"/>
          <w:sz w:val="26"/>
          <w:szCs w:val="28"/>
        </w:rPr>
        <w:t xml:space="preserve">заместитель главы </w:t>
      </w:r>
      <w:r>
        <w:rPr>
          <w:rFonts w:ascii="Times New Roman" w:hAnsi="Times New Roman" w:cs="Times New Roman"/>
          <w:sz w:val="26"/>
          <w:szCs w:val="28"/>
          <w:shd w:val="clear" w:fill="auto" w:color="auto"/>
        </w:rPr>
        <w:t xml:space="preserve">Администрации</w:t>
      </w:r>
      <w:r>
        <w:rPr>
          <w:rFonts w:ascii="Times New Roman" w:hAnsi="Times New Roman" w:cs="Times New Roman"/>
          <w:sz w:val="26"/>
          <w:szCs w:val="28"/>
        </w:rPr>
        <w:t xml:space="preserve"> </w:t>
      </w:r>
      <w:r>
        <w:rPr>
          <w:rFonts w:ascii="Times New Roman" w:hAnsi="Times New Roman" w:cs="Times New Roman"/>
          <w:sz w:val="26"/>
          <w:szCs w:val="28"/>
        </w:rPr>
        <w:t xml:space="preserve">Новооскольского муниципального округа по имущественным и земельным отношениям - начальник</w:t>
      </w:r>
      <w:r>
        <w:rPr>
          <w:rFonts w:ascii="Times New Roman" w:hAnsi="Times New Roman" w:cs="Times New Roman"/>
          <w:sz w:val="26"/>
          <w:szCs w:val="28"/>
        </w:rPr>
        <w:t xml:space="preserve"> управления имущественных и земельных отношений.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1.8. Должностное лицо</w:t>
      </w:r>
      <w:r>
        <w:rPr>
          <w:rFonts w:ascii="Times New Roman" w:hAnsi="Times New Roman" w:cs="Times New Roman"/>
          <w:sz w:val="26"/>
          <w:szCs w:val="28"/>
        </w:rPr>
        <w:t xml:space="preserve"> несет обязанности, соблюдает принципы, ограничения и запреты, установленные Федеральным законом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1.9. Должностное лицо</w:t>
      </w:r>
      <w:r>
        <w:rPr>
          <w:rFonts w:ascii="Times New Roman" w:hAnsi="Times New Roman" w:cs="Times New Roman"/>
          <w:sz w:val="26"/>
          <w:szCs w:val="28"/>
        </w:rPr>
        <w:t xml:space="preserve"> при проведении контр</w:t>
      </w:r>
      <w:r>
        <w:rPr>
          <w:rFonts w:ascii="Times New Roman" w:hAnsi="Times New Roman" w:cs="Times New Roman"/>
          <w:sz w:val="26"/>
          <w:szCs w:val="28"/>
        </w:rPr>
        <w:t xml:space="preserve">ольных мероприятий в пределах своих полномочий и в объеме проводимых контрольных действий пользуется правами, установленными частью 2 статьи 29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shd w:val="clear" w:fill="auto" w:color="auto"/>
        </w:rPr>
        <w:t xml:space="preserve">1.10.</w:t>
      </w:r>
      <w:r>
        <w:rPr>
          <w:rFonts w:ascii="Times New Roman" w:hAnsi="Times New Roman" w:cs="Times New Roman"/>
          <w:sz w:val="26"/>
          <w:szCs w:val="28"/>
        </w:rPr>
        <w:t xml:space="preserve"> </w:t>
      </w:r>
      <w:r>
        <w:rPr>
          <w:rFonts w:ascii="Times New Roman" w:hAnsi="Times New Roman" w:cs="Times New Roman"/>
          <w:sz w:val="26"/>
          <w:szCs w:val="28"/>
        </w:rPr>
        <w:t xml:space="preserve">Гражданин, не осуществляющий предпринимательской де</w:t>
      </w:r>
      <w:r>
        <w:rPr>
          <w:rFonts w:ascii="Times New Roman" w:hAnsi="Times New Roman" w:cs="Times New Roman"/>
          <w:sz w:val="26"/>
          <w:szCs w:val="28"/>
        </w:rPr>
        <w:t xml:space="preserve">ятельности, являющийся контролируемым лицом, информируется о совершаемых должностными лицами органа муниципального контроля и иными уполномоченными лицами действиях и принимаемых решениях путем направления ему документов на бумажном носителе в случае напра</w:t>
      </w:r>
      <w:r>
        <w:rPr>
          <w:rFonts w:ascii="Times New Roman" w:hAnsi="Times New Roman" w:cs="Times New Roman"/>
          <w:sz w:val="26"/>
          <w:szCs w:val="28"/>
        </w:rPr>
        <w:t xml:space="preserve">вления им 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контроля сведений об адресе электронной почты контролируемого лица и возможности направить ему до</w:t>
      </w:r>
      <w:r>
        <w:rPr>
          <w:rFonts w:ascii="Times New Roman" w:hAnsi="Times New Roman" w:cs="Times New Roman"/>
          <w:sz w:val="26"/>
          <w:szCs w:val="28"/>
        </w:rPr>
        <w:t xml:space="preserve">кументы в электронном виде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(случае, если лицо не имеет учетной записи в е</w:t>
      </w:r>
      <w:r>
        <w:rPr>
          <w:rFonts w:ascii="Times New Roman" w:hAnsi="Times New Roman" w:cs="Times New Roman"/>
          <w:sz w:val="26"/>
          <w:szCs w:val="28"/>
        </w:rPr>
        <w:t xml:space="preserve">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контроля документы на бумажном носителе.</w:t>
      </w:r>
      <w:r>
        <w:rPr>
          <w:sz w:val="26"/>
        </w:rPr>
      </w:r>
      <w:r/>
    </w:p>
    <w:p>
      <w:pPr>
        <w:pStyle w:val="924"/>
        <w:ind w:firstLine="709"/>
        <w:jc w:val="both"/>
        <w:spacing w:lineRule="auto" w:line="240"/>
        <w:rPr>
          <w:sz w:val="26"/>
          <w:szCs w:val="28"/>
        </w:rPr>
      </w:pPr>
      <w:r>
        <w:rPr>
          <w:sz w:val="26"/>
          <w:szCs w:val="28"/>
        </w:rPr>
      </w:r>
      <w:r>
        <w:rPr>
          <w:sz w:val="26"/>
        </w:rPr>
      </w:r>
      <w:r/>
    </w:p>
    <w:p>
      <w:pPr>
        <w:pStyle w:val="924"/>
        <w:ind w:firstLine="709"/>
        <w:jc w:val="center"/>
        <w:spacing w:lineRule="auto" w:line="240"/>
        <w:rPr>
          <w:rFonts w:ascii="Times New Roman" w:hAnsi="Times New Roman" w:cs="Times New Roman"/>
          <w:b/>
          <w:bCs/>
          <w:sz w:val="26"/>
          <w:szCs w:val="28"/>
        </w:rPr>
      </w:pPr>
      <w:r>
        <w:rPr>
          <w:rFonts w:ascii="Times New Roman" w:hAnsi="Times New Roman" w:cs="Times New Roman"/>
          <w:b/>
          <w:bCs/>
          <w:sz w:val="26"/>
          <w:szCs w:val="28"/>
        </w:rPr>
        <w:t xml:space="preserve">Раздел 2. Объекты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2.1. </w:t>
      </w:r>
      <w:r>
        <w:rPr>
          <w:rFonts w:ascii="Times New Roman" w:hAnsi="Times New Roman" w:cs="Times New Roman"/>
          <w:sz w:val="26"/>
          <w:szCs w:val="28"/>
        </w:rPr>
        <w:t xml:space="preserve">Муниципальный земельный контроль осуществляется за следующими объектами: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w:t>
      </w:r>
      <w:r>
        <w:rPr>
          <w:rFonts w:ascii="Times New Roman" w:hAnsi="Times New Roman" w:cs="Times New Roman"/>
          <w:sz w:val="26"/>
          <w:szCs w:val="28"/>
        </w:rPr>
        <w:t xml:space="preserve"> соблюдение юридическими лицами, индивидуальными предпринимателями, гражданами требований к использованию и охране земель в отношении объектов земельных отношений;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w:t>
      </w:r>
      <w:r>
        <w:rPr>
          <w:rFonts w:ascii="Times New Roman" w:hAnsi="Times New Roman" w:cs="Times New Roman"/>
          <w:sz w:val="26"/>
          <w:szCs w:val="28"/>
        </w:rPr>
        <w:t xml:space="preserve"> использование земельных участков по целевому назначению и в соответствии с разрешенным использованием;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w:t>
      </w:r>
      <w:r>
        <w:rPr>
          <w:rFonts w:ascii="Times New Roman" w:hAnsi="Times New Roman" w:cs="Times New Roman"/>
          <w:sz w:val="26"/>
          <w:szCs w:val="28"/>
        </w:rPr>
        <w:t xml:space="preserve"> своевременное и качественное выполн</w:t>
      </w:r>
      <w:r>
        <w:rPr>
          <w:rFonts w:ascii="Times New Roman" w:hAnsi="Times New Roman" w:cs="Times New Roman"/>
          <w:sz w:val="26"/>
          <w:szCs w:val="28"/>
        </w:rPr>
        <w:t xml:space="preserve">ение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r>
        <w:rPr>
          <w:sz w:val="26"/>
        </w:rPr>
      </w:r>
      <w:r/>
    </w:p>
    <w:p>
      <w:pPr>
        <w:pStyle w:val="924"/>
        <w:ind w:left="0" w:right="0" w:firstLine="737"/>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 xml:space="preserve">4)</w:t>
      </w:r>
      <w:r>
        <w:rPr>
          <w:rFonts w:ascii="Times New Roman" w:hAnsi="Times New Roman" w:cs="Times New Roman"/>
          <w:sz w:val="26"/>
          <w:szCs w:val="28"/>
        </w:rPr>
        <w:t xml:space="preserve"> выполнение требований по предотвращению уничтожения,</w:t>
      </w:r>
      <w:r>
        <w:rPr>
          <w:rFonts w:ascii="Times New Roman" w:hAnsi="Times New Roman" w:cs="Times New Roman"/>
          <w:sz w:val="26"/>
          <w:szCs w:val="28"/>
        </w:rPr>
        <w:t xml:space="preserve"> самовольного снятия и перемещения плодородного слоя почвы, а также порчи земель в результате нарушения правил обращения с пестицидами, агрохимиками или иными опасными для здоровья людей и окружающей среды веществами и отходами производства и употребления;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w:t>
      </w:r>
      <w:r>
        <w:rPr>
          <w:rFonts w:ascii="Times New Roman" w:hAnsi="Times New Roman" w:cs="Times New Roman"/>
          <w:sz w:val="26"/>
          <w:szCs w:val="28"/>
        </w:rPr>
        <w:t xml:space="preserve"> своевременное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w:t>
      </w:r>
      <w:r>
        <w:rPr>
          <w:rFonts w:ascii="Times New Roman" w:hAnsi="Times New Roman" w:cs="Times New Roman"/>
          <w:sz w:val="26"/>
          <w:szCs w:val="28"/>
        </w:rPr>
        <w:t xml:space="preserve">ных ископаемых (включая общераспространённые полезные ископаемые), строительные, лесозаготовительные, изыскательские и иные работы, ведущиеся с нарушением почвенного слоя, в том числе работ, осуществляемых для внутрихозяйственных и собственных надобностей;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w:t>
      </w:r>
      <w:r>
        <w:rPr>
          <w:rFonts w:ascii="Times New Roman" w:hAnsi="Times New Roman" w:cs="Times New Roman"/>
          <w:sz w:val="26"/>
          <w:szCs w:val="28"/>
        </w:rPr>
        <w:t xml:space="preserve"> предоставление достоверных сведений о состоянии земель;</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 исполнение предписаний по вопросам соблюдения земельного законодательства и устранения нарушений в области земельных отношений;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w:t>
      </w:r>
      <w:r>
        <w:rPr>
          <w:rFonts w:ascii="Times New Roman" w:hAnsi="Times New Roman" w:cs="Times New Roman"/>
          <w:sz w:val="26"/>
          <w:szCs w:val="28"/>
        </w:rPr>
        <w:t xml:space="preserve"> выполнение иных требований земельного законодательства по вопросам использования и охраны земель.</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2.2. </w:t>
      </w:r>
      <w:r>
        <w:rPr>
          <w:rFonts w:ascii="Times New Roman" w:hAnsi="Times New Roman" w:cs="Times New Roman"/>
          <w:sz w:val="26"/>
          <w:szCs w:val="28"/>
        </w:rPr>
        <w:t xml:space="preserve">Учет объектов контроля осуществляется посредством сбора, обработки, анализа и учета: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w:t>
      </w:r>
      <w:r>
        <w:rPr>
          <w:rFonts w:ascii="Times New Roman" w:hAnsi="Times New Roman" w:cs="Times New Roman"/>
          <w:sz w:val="26"/>
          <w:szCs w:val="28"/>
        </w:rPr>
        <w:t xml:space="preserve"> информации, представляемой в соответствии с нормативными правовыми актами;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w:t>
      </w:r>
      <w:r>
        <w:rPr>
          <w:rFonts w:ascii="Times New Roman" w:hAnsi="Times New Roman" w:cs="Times New Roman"/>
          <w:sz w:val="26"/>
          <w:szCs w:val="28"/>
        </w:rPr>
        <w:t xml:space="preserve"> информации, получаемой в рамках межведомственного взаимодействия;</w:t>
      </w:r>
      <w:r>
        <w:rPr>
          <w:sz w:val="26"/>
        </w:rPr>
      </w:r>
      <w:r/>
    </w:p>
    <w:p>
      <w:pPr>
        <w:pStyle w:val="924"/>
        <w:ind w:firstLine="709"/>
        <w:jc w:val="both"/>
        <w:spacing w:lineRule="auto" w:line="240"/>
        <w:rPr>
          <w:sz w:val="26"/>
          <w:szCs w:val="28"/>
        </w:rPr>
      </w:pPr>
      <w:r>
        <w:rPr>
          <w:rFonts w:ascii="Times New Roman" w:hAnsi="Times New Roman" w:cs="Times New Roman"/>
          <w:sz w:val="26"/>
          <w:szCs w:val="28"/>
        </w:rPr>
        <w:t xml:space="preserve">3)</w:t>
      </w:r>
      <w:r>
        <w:rPr>
          <w:rFonts w:ascii="Times New Roman" w:hAnsi="Times New Roman" w:cs="Times New Roman"/>
          <w:sz w:val="26"/>
          <w:szCs w:val="28"/>
        </w:rPr>
        <w:t xml:space="preserve"> общедоступной информации.</w:t>
      </w:r>
      <w:r>
        <w:rPr>
          <w:sz w:val="26"/>
        </w:rPr>
      </w:r>
      <w:r/>
    </w:p>
    <w:p>
      <w:pPr>
        <w:pStyle w:val="924"/>
        <w:ind w:firstLine="709"/>
        <w:jc w:val="both"/>
        <w:spacing w:lineRule="auto" w:line="240"/>
        <w:rPr>
          <w:rFonts w:ascii="Times New Roman" w:hAnsi="Times New Roman" w:cs="Times New Roman"/>
          <w:b/>
          <w:color w:val="000000"/>
          <w:sz w:val="26"/>
        </w:rPr>
      </w:pPr>
      <w:r>
        <w:rPr>
          <w:sz w:val="26"/>
          <w:szCs w:val="28"/>
        </w:rPr>
      </w:r>
      <w:r>
        <w:rPr>
          <w:sz w:val="26"/>
        </w:rPr>
      </w:r>
      <w:r/>
    </w:p>
    <w:p>
      <w:pPr>
        <w:pStyle w:val="924"/>
        <w:ind w:firstLine="709"/>
        <w:jc w:val="center"/>
        <w:spacing w:lineRule="auto" w:line="240"/>
        <w:rPr>
          <w:rFonts w:ascii="Times New Roman" w:hAnsi="Times New Roman"/>
          <w:b/>
          <w:color w:val="000000"/>
          <w:sz w:val="26"/>
          <w:szCs w:val="28"/>
        </w:rPr>
      </w:pPr>
      <w:r>
        <w:rPr>
          <w:rFonts w:ascii="Times New Roman" w:hAnsi="Times New Roman"/>
          <w:b/>
          <w:color w:val="000000"/>
          <w:sz w:val="26"/>
          <w:szCs w:val="28"/>
        </w:rPr>
        <w:t xml:space="preserve">Раздел 3. Категории риска причинения вреда (ущерба) охраняемым законом ценностям при осуществлении муниципального контроля</w:t>
      </w:r>
      <w:r>
        <w:rPr>
          <w:sz w:val="26"/>
        </w:rPr>
      </w:r>
      <w:r/>
    </w:p>
    <w:p>
      <w:pPr>
        <w:pStyle w:val="924"/>
        <w:ind w:firstLine="709"/>
        <w:jc w:val="center"/>
        <w:spacing w:lineRule="auto" w:line="240"/>
        <w:rPr>
          <w:rFonts w:ascii="Times New Roman" w:hAnsi="Times New Roman"/>
          <w:b/>
          <w:color w:val="000000"/>
          <w:sz w:val="26"/>
          <w:szCs w:val="28"/>
        </w:rPr>
      </w:pPr>
      <w:r>
        <w:rPr>
          <w:rFonts w:ascii="Times New Roman" w:hAnsi="Times New Roman"/>
          <w:b/>
          <w:color w:val="000000"/>
          <w:sz w:val="26"/>
          <w:szCs w:val="28"/>
        </w:rPr>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3.1. </w:t>
      </w:r>
      <w:r>
        <w:rPr>
          <w:rFonts w:ascii="Times New Roman" w:hAnsi="Times New Roman" w:cs="Times New Roman"/>
          <w:sz w:val="26"/>
          <w:szCs w:val="28"/>
        </w:rPr>
        <w:t xml:space="preserve">Орган муниципального контроля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w:t>
      </w:r>
      <w:r>
        <w:rPr>
          <w:rFonts w:ascii="Times New Roman" w:hAnsi="Times New Roman" w:cs="Times New Roman"/>
          <w:sz w:val="26"/>
          <w:szCs w:val="28"/>
        </w:rPr>
        <w:t xml:space="preserve"> средний риск;</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w:t>
      </w:r>
      <w:r>
        <w:rPr>
          <w:rFonts w:ascii="Times New Roman" w:hAnsi="Times New Roman" w:cs="Times New Roman"/>
          <w:sz w:val="26"/>
          <w:szCs w:val="28"/>
        </w:rPr>
        <w:t xml:space="preserve"> умеренный риск;</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w:t>
      </w:r>
      <w:r>
        <w:rPr>
          <w:rFonts w:ascii="Times New Roman" w:hAnsi="Times New Roman" w:cs="Times New Roman"/>
          <w:sz w:val="26"/>
          <w:szCs w:val="28"/>
        </w:rPr>
        <w:t xml:space="preserve"> низкий риск.</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3.2. </w:t>
      </w:r>
      <w:r>
        <w:rPr>
          <w:rFonts w:ascii="Times New Roman" w:hAnsi="Times New Roman" w:cs="Times New Roman"/>
          <w:sz w:val="26"/>
          <w:szCs w:val="28"/>
        </w:rPr>
        <w:t xml:space="preserve">Критерии отнесения объектов муниципального контроля к различным категориям риска указаны в приложении 1 к настоящему Положению.</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3.3. Отнесение объекта контроля к одной из ка</w:t>
      </w:r>
      <w:r>
        <w:rPr>
          <w:rFonts w:ascii="Times New Roman" w:hAnsi="Times New Roman" w:cs="Times New Roman"/>
          <w:sz w:val="26"/>
          <w:szCs w:val="28"/>
        </w:rPr>
        <w:t xml:space="preserve">тегорий риск</w:t>
      </w:r>
      <w:r>
        <w:rPr>
          <w:rFonts w:ascii="Times New Roman" w:hAnsi="Times New Roman" w:cs="Times New Roman"/>
          <w:sz w:val="26"/>
          <w:szCs w:val="28"/>
        </w:rPr>
        <w:t xml:space="preserve">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если объект контроля не отнесен к определенной категории риска, он считается отнесенным к категории низкого риска.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3.4. </w:t>
      </w:r>
      <w:r>
        <w:rPr>
          <w:rFonts w:ascii="Times New Roman" w:hAnsi="Times New Roman" w:cs="Times New Roman"/>
          <w:sz w:val="26"/>
          <w:szCs w:val="28"/>
        </w:rPr>
        <w:t xml:space="preserve">Орган муниципального контроля осуществляет категорирование объектов контроля в порядке, определенном статьей 24 Федерального закона                             «О государственном контроле</w:t>
      </w:r>
      <w:r>
        <w:rPr>
          <w:rFonts w:ascii="Times New Roman" w:hAnsi="Times New Roman" w:cs="Times New Roman"/>
          <w:sz w:val="26"/>
          <w:szCs w:val="28"/>
        </w:rPr>
        <w:t xml:space="preserve"> (надзоре) и муниципальном контроле в Российской Федерации.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3.5. </w:t>
      </w:r>
      <w:r>
        <w:rPr>
          <w:rFonts w:ascii="Times New Roman" w:hAnsi="Times New Roman" w:cs="Times New Roman"/>
          <w:sz w:val="26"/>
          <w:szCs w:val="28"/>
        </w:rPr>
        <w:t xml:space="preserve">При отнесении объектов муниципального контроля к категориям риска, применении критериев риска и выявлении </w:t>
      </w:r>
      <w:r>
        <w:rPr>
          <w:rFonts w:ascii="Times New Roman" w:hAnsi="Times New Roman" w:cs="Times New Roman"/>
          <w:sz w:val="26"/>
          <w:szCs w:val="28"/>
        </w:rPr>
        <w:t xml:space="preserve">перечня </w:t>
      </w:r>
      <w:r>
        <w:rPr>
          <w:rFonts w:ascii="Times New Roman" w:hAnsi="Times New Roman" w:cs="Times New Roman"/>
          <w:sz w:val="26"/>
          <w:szCs w:val="28"/>
        </w:rPr>
        <w:t xml:space="preserve">индикаторов риска нарушений требований к использованию и охране земель могут использоваться сведения, характеризующие уровень рисков причинения вреда (ущерба), полученные                   с соблюдением </w:t>
      </w:r>
      <w:r>
        <w:rPr>
          <w:rFonts w:ascii="Times New Roman" w:hAnsi="Times New Roman" w:cs="Times New Roman"/>
          <w:sz w:val="26"/>
          <w:szCs w:val="28"/>
        </w:rPr>
        <w:t xml:space="preserve">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и контрольных мероприятий, от государственных органов, организаций в рамках межведомственного информационн</w:t>
      </w:r>
      <w:r>
        <w:rPr>
          <w:rFonts w:ascii="Times New Roman" w:hAnsi="Times New Roman" w:cs="Times New Roman"/>
          <w:sz w:val="26"/>
          <w:szCs w:val="28"/>
        </w:rPr>
        <w:t xml:space="preserve">ого взаимодействия, по</w:t>
      </w:r>
      <w:r>
        <w:rPr>
          <w:rFonts w:ascii="Times New Roman" w:hAnsi="Times New Roman" w:cs="Times New Roman"/>
          <w:sz w:val="26"/>
          <w:szCs w:val="28"/>
        </w:rPr>
        <w:t xml:space="preserve"> результатам предоставления контролируемыми лицами государственных                       и муниципальных услуг, из их обращений, иных обращений, из обращений и сообщений средств массовой информации, а также сведения, содержащиеся в информационных ресурсах.</w:t>
      </w:r>
      <w:r>
        <w:rPr>
          <w:sz w:val="26"/>
        </w:rPr>
      </w:r>
      <w:r/>
    </w:p>
    <w:p>
      <w:pPr>
        <w:pStyle w:val="924"/>
        <w:ind w:firstLine="709"/>
        <w:jc w:val="both"/>
        <w:spacing w:lineRule="auto" w:line="240"/>
        <w:rPr>
          <w:sz w:val="26"/>
          <w:szCs w:val="28"/>
        </w:rPr>
      </w:pPr>
      <w:r>
        <w:rPr>
          <w:rFonts w:ascii="Times New Roman" w:hAnsi="Times New Roman" w:cs="Times New Roman"/>
          <w:sz w:val="26"/>
          <w:szCs w:val="28"/>
        </w:rPr>
        <w:t xml:space="preserve">3.6. </w:t>
      </w:r>
      <w:r>
        <w:rPr>
          <w:rFonts w:ascii="Times New Roman" w:hAnsi="Times New Roman" w:cs="Times New Roman"/>
          <w:sz w:val="26"/>
          <w:szCs w:val="28"/>
        </w:rPr>
        <w:t xml:space="preserve">Под </w:t>
      </w:r>
      <w:r>
        <w:rPr>
          <w:rFonts w:ascii="Times New Roman" w:hAnsi="Times New Roman" w:cs="Times New Roman"/>
          <w:sz w:val="26"/>
          <w:szCs w:val="28"/>
        </w:rPr>
        <w:t xml:space="preserve">перечнем </w:t>
      </w:r>
      <w:r>
        <w:rPr>
          <w:rFonts w:ascii="Times New Roman" w:hAnsi="Times New Roman" w:cs="Times New Roman"/>
          <w:sz w:val="26"/>
          <w:szCs w:val="28"/>
        </w:rPr>
        <w:t xml:space="preserve">индикатор</w:t>
      </w:r>
      <w:r>
        <w:rPr>
          <w:rFonts w:ascii="Times New Roman" w:hAnsi="Times New Roman" w:cs="Times New Roman"/>
          <w:sz w:val="26"/>
          <w:szCs w:val="28"/>
        </w:rPr>
        <w:t xml:space="preserve">ов</w:t>
      </w:r>
      <w:r>
        <w:rPr>
          <w:rFonts w:ascii="Times New Roman" w:hAnsi="Times New Roman" w:cs="Times New Roman"/>
          <w:sz w:val="26"/>
          <w:szCs w:val="28"/>
        </w:rPr>
        <w:t xml:space="preserve"> риска нарушения требований земельного законодательства понимается соответствие или отклонение от параметров объект</w:t>
      </w:r>
      <w:r>
        <w:rPr>
          <w:rFonts w:ascii="Times New Roman" w:hAnsi="Times New Roman" w:cs="Times New Roman"/>
          <w:sz w:val="26"/>
          <w:szCs w:val="28"/>
        </w:rPr>
        <w:t xml:space="preserve">а муниципального контроля, которые сами по себе не являются нарушениями требований к использованию и охране земель, но с высокой степенью вероятности свидетельствуют о наличии таких нарушений и риска причинения вреда (ущерба) охраняемым законом ценностям. </w:t>
      </w:r>
      <w:r>
        <w:rPr>
          <w:rFonts w:ascii="Times New Roman" w:hAnsi="Times New Roman" w:cs="Times New Roman"/>
          <w:sz w:val="26"/>
          <w:szCs w:val="28"/>
        </w:rPr>
        <w:t xml:space="preserve">П</w:t>
      </w:r>
      <w:r>
        <w:rPr>
          <w:rFonts w:ascii="Times New Roman" w:hAnsi="Times New Roman" w:cs="Times New Roman"/>
          <w:sz w:val="26"/>
          <w:szCs w:val="28"/>
        </w:rPr>
        <w:t xml:space="preserve">еречень </w:t>
      </w:r>
      <w:r>
        <w:rPr>
          <w:rFonts w:ascii="Times New Roman" w:hAnsi="Times New Roman" w:cs="Times New Roman"/>
          <w:sz w:val="26"/>
          <w:szCs w:val="28"/>
        </w:rPr>
        <w:t xml:space="preserve">индикаторов риска</w:t>
      </w:r>
      <w:r>
        <w:rPr>
          <w:rFonts w:ascii="Times New Roman" w:hAnsi="Times New Roman" w:cs="Times New Roman"/>
          <w:sz w:val="26"/>
          <w:szCs w:val="28"/>
        </w:rPr>
        <w:t xml:space="preserve"> установлен приложением 2 к настоящему Положению.</w:t>
      </w:r>
      <w:r>
        <w:rPr>
          <w:sz w:val="26"/>
        </w:rPr>
      </w:r>
      <w:r/>
    </w:p>
    <w:p>
      <w:pPr>
        <w:pStyle w:val="924"/>
        <w:ind w:firstLine="709"/>
        <w:jc w:val="both"/>
        <w:spacing w:lineRule="auto" w:line="240"/>
        <w:rPr>
          <w:rFonts w:ascii="Times New Roman" w:hAnsi="Times New Roman" w:cs="Times New Roman"/>
          <w:sz w:val="26"/>
        </w:rPr>
      </w:pPr>
      <w:r>
        <w:rPr>
          <w:sz w:val="26"/>
          <w:szCs w:val="28"/>
        </w:rPr>
      </w:r>
      <w:r>
        <w:rPr>
          <w:sz w:val="26"/>
        </w:rPr>
      </w:r>
      <w:r/>
    </w:p>
    <w:p>
      <w:pPr>
        <w:pStyle w:val="924"/>
        <w:ind w:firstLine="709"/>
        <w:jc w:val="center"/>
        <w:spacing w:lineRule="auto" w:line="240"/>
        <w:rPr>
          <w:rFonts w:ascii="Times New Roman" w:hAnsi="Times New Roman" w:cs="Times New Roman"/>
          <w:b/>
          <w:sz w:val="26"/>
          <w:szCs w:val="28"/>
        </w:rPr>
      </w:pPr>
      <w:r>
        <w:rPr>
          <w:rFonts w:ascii="Times New Roman" w:hAnsi="Times New Roman" w:cs="Times New Roman"/>
          <w:b/>
          <w:bCs/>
          <w:sz w:val="26"/>
          <w:szCs w:val="28"/>
          <w:highlight w:val="none"/>
        </w:rPr>
      </w:r>
      <w:r>
        <w:rPr>
          <w:rFonts w:ascii="Times New Roman" w:hAnsi="Times New Roman" w:cs="Times New Roman"/>
          <w:b/>
          <w:bCs/>
          <w:sz w:val="26"/>
          <w:szCs w:val="28"/>
          <w:highlight w:val="none"/>
        </w:rPr>
      </w:r>
      <w:r/>
    </w:p>
    <w:p>
      <w:pPr>
        <w:pStyle w:val="924"/>
        <w:ind w:firstLine="709"/>
        <w:jc w:val="center"/>
        <w:spacing w:lineRule="auto" w:line="240"/>
        <w:rPr>
          <w:rFonts w:ascii="Times New Roman" w:hAnsi="Times New Roman" w:cs="Times New Roman"/>
          <w:b/>
          <w:bCs/>
          <w:sz w:val="26"/>
          <w:szCs w:val="28"/>
        </w:rPr>
      </w:pPr>
      <w:r>
        <w:rPr>
          <w:rFonts w:ascii="Times New Roman" w:hAnsi="Times New Roman" w:cs="Times New Roman"/>
          <w:b/>
          <w:bCs/>
          <w:sz w:val="26"/>
          <w:szCs w:val="28"/>
        </w:rPr>
        <w:t xml:space="preserve">Раздел 4. Профилактика рисков причинения вреда (ущерба) </w:t>
      </w:r>
      <w:r/>
    </w:p>
    <w:p>
      <w:pPr>
        <w:pStyle w:val="924"/>
        <w:ind w:firstLine="709"/>
        <w:jc w:val="center"/>
        <w:spacing w:lineRule="auto" w:line="240"/>
        <w:rPr>
          <w:rFonts w:ascii="Times New Roman" w:hAnsi="Times New Roman" w:cs="Times New Roman"/>
          <w:b/>
          <w:sz w:val="26"/>
          <w:szCs w:val="28"/>
          <w:highlight w:val="none"/>
        </w:rPr>
      </w:pPr>
      <w:r>
        <w:rPr>
          <w:rFonts w:ascii="Times New Roman" w:hAnsi="Times New Roman" w:cs="Times New Roman"/>
          <w:b/>
          <w:bCs/>
          <w:sz w:val="26"/>
          <w:szCs w:val="28"/>
        </w:rPr>
        <w:t xml:space="preserve">охраняемым законом ценностям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 </w:t>
      </w:r>
      <w:r>
        <w:rPr>
          <w:rFonts w:ascii="Times New Roman" w:hAnsi="Times New Roman" w:cs="Times New Roman"/>
          <w:sz w:val="26"/>
          <w:szCs w:val="28"/>
        </w:rPr>
        <w:t xml:space="preserve">Профилактика рисков причинения вреда (ущерба) охраняемых законом ценностям осуществляется на основании разрабатываемой органом муниципального контроля ежегодной программы профилактики рисков причинения вреда (ущерба) охраняемым законом ценностям.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 </w:t>
      </w:r>
      <w:r>
        <w:rPr>
          <w:rFonts w:ascii="Times New Roman" w:hAnsi="Times New Roman" w:cs="Times New Roman"/>
          <w:sz w:val="26"/>
          <w:szCs w:val="28"/>
        </w:rPr>
        <w:t xml:space="preserve">Разработка и актуализация программы профилактики рисков причинения вреда (ущерба) охраняемым законом ценностям осуществляется в порядке, утверждаемом Правительством Российской Федерации, должностными лицами, указанными в части 1.6 настоящего Положения.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 </w:t>
      </w:r>
      <w:r>
        <w:rPr>
          <w:rFonts w:ascii="Times New Roman" w:hAnsi="Times New Roman" w:cs="Times New Roman"/>
          <w:sz w:val="26"/>
          <w:szCs w:val="28"/>
        </w:rPr>
        <w:t xml:space="preserve">Программа профилактики рисков причинения вреда (ущерба) охраняемых законом ценностям утверждается постановлением Администрации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 в соответствии с законодательством Российской Федерации.</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4.4. </w:t>
      </w:r>
      <w:r>
        <w:rPr>
          <w:rFonts w:ascii="Times New Roman" w:hAnsi="Times New Roman" w:cs="Times New Roman"/>
          <w:sz w:val="26"/>
          <w:szCs w:val="28"/>
        </w:rPr>
        <w:t xml:space="preserve">Утвержденная программа профилактики рисков причинения вреда (ущерба) охраняемым законом ценностям подлежит обязательному размещению на официальном сайте  муниципального округа в сети «Интернет» (https://novyjoskol-r31.gosweb.gosuslugi.ru/</w:t>
      </w:r>
      <w:r>
        <w:rPr>
          <w:rFonts w:ascii="Times New Roman" w:hAnsi="Times New Roman" w:cs="Times New Roman"/>
          <w:sz w:val="26"/>
          <w:szCs w:val="28"/>
        </w:rPr>
        <w:t xml:space="preserve">),</w:t>
      </w:r>
      <w:r>
        <w:rPr>
          <w:rFonts w:ascii="Times New Roman" w:hAnsi="Times New Roman" w:cs="Times New Roman"/>
          <w:sz w:val="26"/>
          <w:szCs w:val="28"/>
        </w:rPr>
        <w:t xml:space="preserve"> (далее – официальный сайт) в сроки, устанавливаемые Правительством Российской Федерации, лицами, указанными в части 1.6 настоящего Положения.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4.5. При осуществлении муниципального контроля проводятся следующие виды профилактических мероприятий:</w:t>
      </w:r>
      <w:r>
        <w:rPr>
          <w:sz w:val="26"/>
        </w:rPr>
      </w:r>
      <w:r/>
    </w:p>
    <w:p>
      <w:pPr>
        <w:pStyle w:val="924"/>
        <w:numPr>
          <w:ilvl w:val="0"/>
          <w:numId w:val="0"/>
        </w:numPr>
        <w:ind w:left="0" w:firstLine="0"/>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информирование;</w:t>
      </w:r>
      <w:r>
        <w:rPr>
          <w:sz w:val="26"/>
        </w:rPr>
      </w:r>
      <w:r/>
    </w:p>
    <w:p>
      <w:pPr>
        <w:pStyle w:val="924"/>
        <w:numPr>
          <w:ilvl w:val="0"/>
          <w:numId w:val="0"/>
        </w:numPr>
        <w:ind w:left="0" w:firstLine="0"/>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консультирование;</w:t>
      </w:r>
      <w:r>
        <w:rPr>
          <w:sz w:val="26"/>
        </w:rPr>
      </w:r>
      <w:r/>
    </w:p>
    <w:p>
      <w:pPr>
        <w:pStyle w:val="924"/>
        <w:numPr>
          <w:ilvl w:val="0"/>
          <w:numId w:val="0"/>
        </w:numPr>
        <w:ind w:left="0" w:firstLine="0"/>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w:t>
      </w:r>
      <w:r>
        <w:rPr>
          <w:rFonts w:ascii="Times New Roman" w:hAnsi="Times New Roman" w:cs="Times New Roman"/>
          <w:sz w:val="26"/>
          <w:szCs w:val="28"/>
        </w:rPr>
        <w:t xml:space="preserve">объявление предостережения;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профилактический визит;</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4.6. Информирование осуществляется органом муниципального контроля посредством размещения соответствующих сведений на официальном сайте, в газете «Вперед» и в иных формах.</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На официальном сайте органом муниципального контроля размещаются сведения, указанные в части 3 статьи 46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Размещенные на официальном сайте сведения поддерживаются в актуальном состоянии и обновляются в срок не позднее 5 рабочих дней   с момента их изменения.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4.7.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w:t>
      </w:r>
      <w:r>
        <w:rPr>
          <w:rFonts w:ascii="Times New Roman" w:hAnsi="Times New Roman" w:cs="Times New Roman"/>
          <w:sz w:val="26"/>
          <w:szCs w:val="28"/>
        </w:rPr>
        <w:t xml:space="preserve">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4.8. Консультирование может осуществляться д</w:t>
      </w:r>
      <w:r>
        <w:rPr>
          <w:rFonts w:ascii="Times New Roman" w:hAnsi="Times New Roman" w:cs="Times New Roman"/>
          <w:sz w:val="26"/>
          <w:szCs w:val="28"/>
        </w:rPr>
        <w:t xml:space="preserve">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4.9. При устном обращении заявителя (по телефону </w:t>
      </w:r>
      <w:r>
        <w:rPr>
          <w:rFonts w:ascii="Times New Roman" w:hAnsi="Times New Roman" w:cs="Times New Roman"/>
          <w:sz w:val="26"/>
          <w:szCs w:val="28"/>
        </w:rPr>
        <w:t xml:space="preserve">или лично) должностные лица органа муниципального контроля, осуществляющие консультирование, должны давать ответ самостоятельно. Если должностное лицо, к которому обратился заявитель, не может ответить на вопрос самостоятельно, то оно может предложить заяв</w:t>
      </w:r>
      <w:r>
        <w:rPr>
          <w:rFonts w:ascii="Times New Roman" w:hAnsi="Times New Roman" w:cs="Times New Roman"/>
          <w:sz w:val="26"/>
          <w:szCs w:val="28"/>
        </w:rPr>
        <w:t xml:space="preserve">ителю обратиться письменно или назначить другое удобное для него время консультации либо переадресовать (перевести) на другое должностное лицо органа муниципального контроля, или сообщить телефонный номер, по которому можно получить необходимую информацию.</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Письменное обращение заявителя, в период до 1 января 2030 </w:t>
      </w:r>
      <w:r>
        <w:rPr>
          <w:rFonts w:ascii="Times New Roman" w:hAnsi="Times New Roman" w:cs="Times New Roman"/>
          <w:sz w:val="26"/>
          <w:szCs w:val="28"/>
        </w:rPr>
        <w:t xml:space="preserve">года</w:t>
      </w:r>
      <w:r>
        <w:rPr>
          <w:rFonts w:ascii="Times New Roman" w:hAnsi="Times New Roman" w:cs="Times New Roman"/>
          <w:sz w:val="26"/>
          <w:szCs w:val="28"/>
        </w:rPr>
        <w:t xml:space="preserve"> по вопросу осуществления консультирования, обеспечивается с использованием единого портала государственных и муниципальных усл</w:t>
      </w:r>
      <w:r>
        <w:rPr>
          <w:rFonts w:ascii="Times New Roman" w:hAnsi="Times New Roman" w:cs="Times New Roman"/>
          <w:sz w:val="26"/>
          <w:szCs w:val="28"/>
        </w:rPr>
        <w:t xml:space="preserve">уг. Подписывается такое письменное обращение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 - техн</w:t>
      </w:r>
      <w:r>
        <w:rPr>
          <w:rFonts w:ascii="Times New Roman" w:hAnsi="Times New Roman" w:cs="Times New Roman"/>
          <w:sz w:val="26"/>
          <w:szCs w:val="28"/>
        </w:rPr>
        <w:t xml:space="preserve">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т</w:t>
      </w:r>
      <w:r>
        <w:rPr>
          <w:rFonts w:ascii="Times New Roman" w:hAnsi="Times New Roman" w:cs="Times New Roman"/>
          <w:sz w:val="26"/>
          <w:szCs w:val="28"/>
        </w:rPr>
        <w:t xml:space="preserve">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единого портала государственных и муниципальных услуг) или являющегося индивидуальным предпринимателем.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4.10. Должностные лица органа муниципального контроля, осуществляющие консультирование (по телефону или лично), должны корректно и внимательно относиться к заявителям. При ответе на телефонные звонки должностное лицо, осуществляющее консультирование, должн</w:t>
      </w:r>
      <w:r>
        <w:rPr>
          <w:rFonts w:ascii="Times New Roman" w:hAnsi="Times New Roman" w:cs="Times New Roman"/>
          <w:sz w:val="26"/>
          <w:szCs w:val="28"/>
        </w:rPr>
        <w:t xml:space="preserve">о назвать фамилию, имя, отчество (последнее – при наличии), занимаемую должность и наименование органа муниципального контроля. Во время разговора необходимо произносить слова четко, избегать «параллельных разговоров» с окружающими людьми и не </w:t>
      </w:r>
      <w:r>
        <w:rPr>
          <w:rFonts w:ascii="Times New Roman" w:hAnsi="Times New Roman" w:cs="Times New Roman"/>
          <w:sz w:val="26"/>
          <w:szCs w:val="28"/>
        </w:rPr>
        <w:t xml:space="preserve">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4.11. Письменное обращение заявителя по</w:t>
      </w:r>
      <w:r>
        <w:rPr>
          <w:rFonts w:ascii="Times New Roman" w:hAnsi="Times New Roman" w:cs="Times New Roman"/>
          <w:sz w:val="26"/>
          <w:szCs w:val="28"/>
        </w:rPr>
        <w:t xml:space="preserve"> вопросу осуществления консультирования, поступившее в порядке, указанном в абзаце втором части 4.9 Положения, в орган муниципального контроля, подлежит рассмотрению органом муниципального контроля в течение 10 (десяти) рабочих дней со дня его регистрации.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4.12. При устном и письменном консультировании должностные лица органа муниципального контроля обязаны предоставлять информацию по следующим вопросам: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применение положений нормативных правовых актах (их отдельных положений), содержащих обязательные требования, оценка соблюдения которых осуществляется в рамках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об объектах муниципального контроля, критериях их отнесения к определенной категории риска;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о нормативных правовых актах, регламентирующих порядок осуществления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о порядке обжалования действий или бездействия должностных лиц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о местах нахождения и графиках работы, справочных телефонах, адресах официального сайта, а также электронной почты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4.13. Публичное письменное</w:t>
      </w:r>
      <w:r>
        <w:rPr>
          <w:rFonts w:ascii="Times New Roman" w:hAnsi="Times New Roman" w:cs="Times New Roman"/>
          <w:sz w:val="26"/>
          <w:szCs w:val="28"/>
        </w:rPr>
        <w:t xml:space="preserve"> консультирование осуществляется путем размещения информационных материалов на информационных стендах органа муниципального  контроля, публикации информационных материалов в средствах массовой информации, включая размещение информации на официальном сайте.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4.14. Должностные лица орг</w:t>
      </w:r>
      <w:r>
        <w:rPr>
          <w:rFonts w:ascii="Times New Roman" w:hAnsi="Times New Roman" w:cs="Times New Roman"/>
          <w:sz w:val="26"/>
          <w:szCs w:val="28"/>
        </w:rPr>
        <w:t xml:space="preserve">ана муниципального контроля не вправе осуществлять консультирование заявителей, выходящее за рамки информирования о стандартных процедурах и условиях осуществления муниципального контроля и влияющее прямо или косвенно на индивидуальные решения заявителей.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4.15. </w:t>
      </w:r>
      <w:r>
        <w:rPr>
          <w:rFonts w:ascii="Times New Roman" w:hAnsi="Times New Roman" w:cs="Times New Roman"/>
          <w:sz w:val="26"/>
          <w:szCs w:val="28"/>
        </w:rPr>
        <w:t xml:space="preserve">При наличии у органа муниципального контроля сведений о готовящихс</w:t>
      </w:r>
      <w:r>
        <w:rPr>
          <w:rFonts w:ascii="Times New Roman" w:hAnsi="Times New Roman" w:cs="Times New Roman"/>
          <w:sz w:val="26"/>
          <w:szCs w:val="28"/>
        </w:rPr>
        <w:t xml:space="preserve">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w:t>
      </w:r>
      <w:r>
        <w:rPr>
          <w:rFonts w:ascii="Times New Roman" w:hAnsi="Times New Roman" w:cs="Times New Roman"/>
          <w:sz w:val="26"/>
          <w:szCs w:val="28"/>
        </w:rPr>
        <w:t xml:space="preserve">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4.16. </w:t>
      </w:r>
      <w:r>
        <w:rPr>
          <w:rFonts w:ascii="Times New Roman" w:hAnsi="Times New Roman" w:cs="Times New Roman"/>
          <w:sz w:val="26"/>
          <w:szCs w:val="28"/>
        </w:rPr>
        <w:t xml:space="preserve">В предостережении о недопустимости нарушения обязательных требований в том числе указывается: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наименование юридического лица, адрес места нахождения, фамилия, имя, отчество (при наличии) индивидуального предпринимателя, гражданина, адрес места жительства;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адрес места осуществления деятельности;</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3</w:t>
      </w:r>
      <w:r>
        <w:rPr>
          <w:rFonts w:ascii="Times New Roman" w:hAnsi="Times New Roman" w:cs="Times New Roman" w:eastAsia="Times New Roman"/>
          <w:color w:val="000000"/>
          <w:sz w:val="26"/>
          <w:szCs w:val="28"/>
          <w:lang w:val="ru-RU"/>
        </w:rPr>
        <w:t xml:space="preserve">) обяз</w:t>
      </w:r>
      <w:r>
        <w:rPr>
          <w:rFonts w:ascii="Times New Roman" w:hAnsi="Times New Roman" w:cs="Times New Roman"/>
          <w:sz w:val="26"/>
          <w:szCs w:val="28"/>
        </w:rPr>
        <w:t xml:space="preserve">ательные требования, предусматривающих их нормативный правовой акт;</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w:t>
      </w:r>
      <w:r>
        <w:rPr>
          <w:rFonts w:ascii="Times New Roman" w:hAnsi="Times New Roman" w:cs="Times New Roman"/>
          <w:sz w:val="26"/>
          <w:szCs w:val="28"/>
        </w:rPr>
        <w:t xml:space="preserve">информация о том, какие действия (бездействие) контролируемого лица могут привести или приводят к нарушению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w:t>
      </w:r>
      <w:r>
        <w:rPr>
          <w:rFonts w:ascii="Times New Roman" w:hAnsi="Times New Roman" w:cs="Times New Roman"/>
          <w:sz w:val="26"/>
          <w:szCs w:val="28"/>
        </w:rPr>
        <w:t xml:space="preserve">предложение о принятии мер по обеспечению соблюдения данных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 </w:t>
      </w:r>
      <w:r>
        <w:rPr>
          <w:rFonts w:ascii="Times New Roman" w:hAnsi="Times New Roman" w:cs="Times New Roman"/>
          <w:sz w:val="26"/>
          <w:szCs w:val="28"/>
        </w:rPr>
        <w:t xml:space="preserve">контактные данные органа муниципального контроля, включая почтовый адрес и адрес электронной почты, а также иные возможные способы подачи возражений.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Решение о направлении предостережения принимается лицами, указанными в части 1.7 настоящего Положения, на основании предложений инспекторов.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4.1</w:t>
      </w:r>
      <w:r>
        <w:rPr>
          <w:rFonts w:ascii="Times New Roman" w:hAnsi="Times New Roman" w:cs="Times New Roman"/>
          <w:sz w:val="26"/>
          <w:szCs w:val="28"/>
        </w:rPr>
        <w:t xml:space="preserve">7.</w:t>
      </w:r>
      <w:r>
        <w:rPr>
          <w:rFonts w:ascii="Times New Roman" w:hAnsi="Times New Roman" w:cs="Times New Roman"/>
          <w:sz w:val="26"/>
          <w:szCs w:val="28"/>
        </w:rPr>
        <w:t xml:space="preserve"> </w:t>
      </w:r>
      <w:r>
        <w:rPr>
          <w:rFonts w:ascii="Times New Roman" w:hAnsi="Times New Roman" w:cs="Times New Roman"/>
          <w:sz w:val="26"/>
          <w:szCs w:val="28"/>
        </w:rPr>
        <w:t xml:space="preserve">Составление </w:t>
      </w:r>
      <w:r>
        <w:rPr>
          <w:rFonts w:ascii="Times New Roman" w:hAnsi="Times New Roman" w:cs="Times New Roman"/>
          <w:sz w:val="26"/>
          <w:szCs w:val="28"/>
        </w:rPr>
        <w:t xml:space="preserve">и направление предостережения осуществляется не позднее 15 (пятнадцати) рабочих дней со дня получения инспекторами, сведений, указанных в части 4.15 настоящего Положения, способом, позволяющим установить дату получения контролируемым лицом предостережения.</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4.1</w:t>
      </w:r>
      <w:r>
        <w:rPr>
          <w:rFonts w:ascii="Times New Roman" w:hAnsi="Times New Roman" w:cs="Times New Roman"/>
          <w:sz w:val="26"/>
          <w:szCs w:val="28"/>
        </w:rPr>
        <w:t xml:space="preserve">8.</w:t>
      </w:r>
      <w:r>
        <w:rPr>
          <w:rFonts w:ascii="Times New Roman" w:hAnsi="Times New Roman" w:cs="Times New Roman"/>
          <w:sz w:val="26"/>
          <w:szCs w:val="28"/>
        </w:rPr>
        <w:t xml:space="preserve"> </w:t>
      </w:r>
      <w:r>
        <w:rPr>
          <w:rFonts w:ascii="Times New Roman" w:hAnsi="Times New Roman" w:cs="Times New Roman"/>
          <w:sz w:val="26"/>
          <w:szCs w:val="28"/>
        </w:rPr>
        <w:t xml:space="preserve">Орга</w:t>
      </w:r>
      <w:r>
        <w:rPr>
          <w:rFonts w:ascii="Times New Roman" w:hAnsi="Times New Roman" w:cs="Times New Roman"/>
          <w:sz w:val="26"/>
          <w:szCs w:val="28"/>
        </w:rPr>
        <w:t xml:space="preserve">ном муниципального контроля ведется учет объявленных им предостережений о недопустимости нарушения обязательных требований путем регистрации их в журнале учета предостережений о недопустимости нарушения обязательных требований, форма которого утверждается </w:t>
      </w:r>
      <w:r>
        <w:rPr>
          <w:rFonts w:ascii="Times New Roman" w:hAnsi="Times New Roman" w:cs="Times New Roman"/>
          <w:sz w:val="26"/>
          <w:szCs w:val="28"/>
        </w:rPr>
        <w:t xml:space="preserve">распоряжением</w:t>
      </w:r>
      <w:r>
        <w:rPr>
          <w:rFonts w:ascii="Times New Roman" w:hAnsi="Times New Roman" w:cs="Times New Roman"/>
          <w:sz w:val="26"/>
          <w:szCs w:val="28"/>
        </w:rPr>
        <w:t xml:space="preserve"> Администрации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муниципального округа.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w:t>
      </w:r>
      <w:r>
        <w:rPr>
          <w:rFonts w:ascii="Times New Roman" w:hAnsi="Times New Roman" w:cs="Times New Roman"/>
          <w:sz w:val="26"/>
          <w:szCs w:val="28"/>
        </w:rPr>
        <w:t xml:space="preserve">19.</w:t>
      </w:r>
      <w:r>
        <w:rPr>
          <w:rFonts w:ascii="Times New Roman" w:hAnsi="Times New Roman" w:cs="Times New Roman"/>
          <w:sz w:val="26"/>
          <w:szCs w:val="28"/>
        </w:rPr>
        <w:t xml:space="preserve">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w:t>
      </w:r>
      <w:r>
        <w:rPr>
          <w:rFonts w:ascii="Times New Roman" w:hAnsi="Times New Roman" w:cs="Times New Roman"/>
          <w:sz w:val="26"/>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0.</w:t>
      </w:r>
      <w:r>
        <w:rPr>
          <w:rFonts w:ascii="Times New Roman" w:hAnsi="Times New Roman" w:cs="Times New Roman"/>
          <w:sz w:val="26"/>
          <w:szCs w:val="28"/>
        </w:rPr>
        <w:t xml:space="preserve"> </w:t>
      </w:r>
      <w:r>
        <w:rPr>
          <w:rFonts w:ascii="Times New Roman" w:hAnsi="Times New Roman" w:cs="Times New Roman"/>
          <w:sz w:val="26"/>
          <w:szCs w:val="28"/>
        </w:rPr>
        <w:t xml:space="preserve">В возражении в отношении предостережения контролируемым лицом указываются: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наименование юридического лица, фамилия, имя, отчество  (при наличии) индивидуального предпринимателя, гражданина;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дата и номер предостережения, направленного в адрес контролируемого лица;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w:t>
      </w:r>
      <w:r>
        <w:rPr>
          <w:rFonts w:ascii="Times New Roman" w:hAnsi="Times New Roman" w:cs="Times New Roman"/>
          <w:sz w:val="26"/>
          <w:szCs w:val="28"/>
        </w:rPr>
        <w:t xml:space="preserve">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1.</w:t>
      </w:r>
      <w:r>
        <w:rPr>
          <w:rFonts w:ascii="Times New Roman" w:hAnsi="Times New Roman" w:cs="Times New Roman"/>
          <w:sz w:val="26"/>
          <w:szCs w:val="28"/>
        </w:rPr>
        <w:t xml:space="preserve"> </w:t>
      </w:r>
      <w:r>
        <w:rPr>
          <w:rFonts w:ascii="Times New Roman" w:hAnsi="Times New Roman" w:cs="Times New Roman"/>
          <w:sz w:val="26"/>
          <w:szCs w:val="28"/>
        </w:rPr>
        <w:t xml:space="preserve">Контролируемое лицо вправе приложить к возражениям в отношении предостережения документы, подтверждающие обоснованность таких возражений, или их заверенные копии.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2.</w:t>
      </w:r>
      <w:r>
        <w:rPr>
          <w:rFonts w:ascii="Times New Roman" w:hAnsi="Times New Roman" w:cs="Times New Roman"/>
          <w:sz w:val="26"/>
          <w:szCs w:val="28"/>
        </w:rPr>
        <w:t xml:space="preserve"> </w:t>
      </w:r>
      <w:r>
        <w:rPr>
          <w:rFonts w:ascii="Times New Roman" w:hAnsi="Times New Roman" w:cs="Times New Roman"/>
          <w:sz w:val="26"/>
          <w:szCs w:val="28"/>
        </w:rPr>
        <w:t xml:space="preserve">Возражения в отношении предостережения направляются контролируемым лицом в орган муниципального контроля лично либо посредством почтовой связи.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3.</w:t>
      </w:r>
      <w:r>
        <w:rPr>
          <w:rFonts w:ascii="Times New Roman" w:hAnsi="Times New Roman" w:cs="Times New Roman"/>
          <w:sz w:val="26"/>
          <w:szCs w:val="28"/>
        </w:rPr>
        <w:t xml:space="preserve"> </w:t>
      </w:r>
      <w:r>
        <w:rPr>
          <w:rFonts w:ascii="Times New Roman" w:hAnsi="Times New Roman" w:cs="Times New Roman"/>
          <w:sz w:val="26"/>
          <w:szCs w:val="28"/>
        </w:rPr>
        <w:t xml:space="preserve">Орган </w:t>
      </w:r>
      <w:r>
        <w:rPr>
          <w:rFonts w:ascii="Times New Roman" w:hAnsi="Times New Roman" w:cs="Times New Roman"/>
          <w:sz w:val="26"/>
          <w:szCs w:val="28"/>
        </w:rPr>
        <w:t xml:space="preserve">муниципального контроля регистрирует поступившие возражения в отношении предостережения в день их поступления, а в случае невозможности – не позднее следующего рабочего дня в журнале учета предостережений о недопустимости нарушения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4.</w:t>
      </w:r>
      <w:r>
        <w:rPr>
          <w:rFonts w:ascii="Times New Roman" w:hAnsi="Times New Roman" w:cs="Times New Roman"/>
          <w:sz w:val="26"/>
          <w:szCs w:val="28"/>
        </w:rPr>
        <w:t xml:space="preserve"> </w:t>
      </w:r>
      <w:r>
        <w:rPr>
          <w:rFonts w:ascii="Times New Roman" w:hAnsi="Times New Roman" w:cs="Times New Roman"/>
          <w:sz w:val="26"/>
          <w:szCs w:val="28"/>
        </w:rPr>
        <w:t xml:space="preserve">Возражение в отношении предостережения рассматривается органом муниципального контроля в течение 20 (двадцати) рабочих дней со дня регистрации возражения.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4.2</w:t>
      </w:r>
      <w:r>
        <w:rPr>
          <w:rFonts w:ascii="Times New Roman" w:hAnsi="Times New Roman" w:cs="Times New Roman"/>
          <w:sz w:val="26"/>
          <w:szCs w:val="28"/>
        </w:rPr>
        <w:t xml:space="preserve">5.</w:t>
      </w:r>
      <w:r>
        <w:rPr>
          <w:rFonts w:ascii="Times New Roman" w:hAnsi="Times New Roman" w:cs="Times New Roman"/>
          <w:sz w:val="26"/>
          <w:szCs w:val="28"/>
        </w:rPr>
        <w:t xml:space="preserve"> </w:t>
      </w:r>
      <w:r>
        <w:rPr>
          <w:rFonts w:ascii="Times New Roman" w:hAnsi="Times New Roman" w:cs="Times New Roman"/>
          <w:sz w:val="26"/>
          <w:szCs w:val="28"/>
        </w:rPr>
        <w:t xml:space="preserve">По результатам рассмотрения возражения орган муниципального контроля принимает одно из следующих решений: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удовлетворяет возражение в форме отмены объявленного предостережения;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отказывает в удовлетворении возражения.</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4.2</w:t>
      </w:r>
      <w:r>
        <w:rPr>
          <w:rFonts w:ascii="Times New Roman" w:hAnsi="Times New Roman" w:cs="Times New Roman"/>
          <w:sz w:val="26"/>
          <w:szCs w:val="28"/>
        </w:rPr>
        <w:t xml:space="preserve">6.</w:t>
      </w:r>
      <w:r>
        <w:rPr>
          <w:rFonts w:ascii="Times New Roman" w:hAnsi="Times New Roman" w:cs="Times New Roman"/>
          <w:sz w:val="26"/>
          <w:szCs w:val="28"/>
        </w:rPr>
        <w:t xml:space="preserve"> </w:t>
      </w:r>
      <w:r>
        <w:rPr>
          <w:rFonts w:ascii="Times New Roman" w:hAnsi="Times New Roman" w:cs="Times New Roman"/>
          <w:sz w:val="26"/>
          <w:szCs w:val="28"/>
        </w:rPr>
        <w:t xml:space="preserve">Не </w:t>
      </w:r>
      <w:r>
        <w:rPr>
          <w:rFonts w:ascii="Times New Roman" w:hAnsi="Times New Roman" w:cs="Times New Roman"/>
          <w:sz w:val="26"/>
          <w:szCs w:val="28"/>
        </w:rPr>
        <w:t xml:space="preserve">п</w:t>
      </w:r>
      <w:r>
        <w:rPr>
          <w:rFonts w:ascii="Times New Roman" w:hAnsi="Times New Roman" w:cs="Times New Roman"/>
          <w:sz w:val="26"/>
          <w:szCs w:val="28"/>
        </w:rPr>
        <w:t xml:space="preserve">озднее дня, следующего за днем принятия решения, указанного           в части 4.2</w:t>
      </w:r>
      <w:r>
        <w:rPr>
          <w:rFonts w:ascii="Times New Roman" w:hAnsi="Times New Roman" w:cs="Times New Roman"/>
          <w:sz w:val="26"/>
          <w:szCs w:val="28"/>
        </w:rPr>
        <w:t xml:space="preserve">5</w:t>
      </w:r>
      <w:r>
        <w:rPr>
          <w:rFonts w:ascii="Times New Roman" w:hAnsi="Times New Roman" w:cs="Times New Roman"/>
          <w:sz w:val="26"/>
          <w:szCs w:val="28"/>
        </w:rPr>
        <w:t xml:space="preserve"> настоящего Положения, контролируемому лицу, подавшему возражение, в письменной форме направляется мотивированный ответ  о результатах рассмотрения возражения. </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4.2</w:t>
      </w:r>
      <w:r>
        <w:rPr>
          <w:rFonts w:ascii="Times New Roman" w:hAnsi="Times New Roman" w:cs="Times New Roman"/>
          <w:sz w:val="26"/>
          <w:szCs w:val="28"/>
        </w:rPr>
        <w:t xml:space="preserve">7.</w:t>
      </w:r>
      <w:r>
        <w:rPr>
          <w:rFonts w:ascii="Times New Roman" w:hAnsi="Times New Roman" w:cs="Times New Roman"/>
          <w:sz w:val="26"/>
          <w:szCs w:val="28"/>
        </w:rPr>
        <w:t xml:space="preserve"> </w:t>
      </w:r>
      <w:r>
        <w:rPr>
          <w:rFonts w:ascii="Times New Roman" w:hAnsi="Times New Roman" w:cs="Times New Roman"/>
          <w:sz w:val="26"/>
          <w:szCs w:val="28"/>
        </w:rPr>
        <w:t xml:space="preserve">Повторное направлени</w:t>
      </w:r>
      <w:r>
        <w:rPr>
          <w:rFonts w:ascii="Times New Roman" w:hAnsi="Times New Roman" w:cs="Times New Roman"/>
          <w:sz w:val="26"/>
          <w:szCs w:val="28"/>
        </w:rPr>
        <w:t xml:space="preserve">е возражения по тем же основаниям не допускается. Поступившее в орган муниципального контроля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Уведомление об оставлении без рассмотрения возражения в отношении предостережения направляется контролируемому лицу в течение 5 (пяти) рабочих дней со дня его поступления в орган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w:t>
      </w:r>
      <w:r>
        <w:rPr>
          <w:rFonts w:ascii="Times New Roman" w:hAnsi="Times New Roman" w:cs="Times New Roman"/>
          <w:sz w:val="26"/>
          <w:szCs w:val="28"/>
        </w:rPr>
        <w:t xml:space="preserve">2</w:t>
      </w:r>
      <w:r>
        <w:rPr>
          <w:rFonts w:ascii="Times New Roman" w:hAnsi="Times New Roman" w:cs="Times New Roman"/>
          <w:sz w:val="26"/>
          <w:szCs w:val="28"/>
        </w:rPr>
        <w:t xml:space="preserve">8.</w:t>
      </w:r>
      <w:r>
        <w:rPr>
          <w:rFonts w:ascii="Times New Roman" w:hAnsi="Times New Roman" w:cs="Times New Roman"/>
          <w:sz w:val="26"/>
          <w:szCs w:val="28"/>
        </w:rPr>
        <w:t xml:space="preserve">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w:t>
      </w:r>
      <w:r>
        <w:rPr>
          <w:rFonts w:ascii="Times New Roman" w:hAnsi="Times New Roman" w:cs="Times New Roman"/>
          <w:sz w:val="26"/>
          <w:szCs w:val="28"/>
        </w:rPr>
        <w:t xml:space="preserve">29.</w:t>
      </w:r>
      <w:r>
        <w:rPr>
          <w:rFonts w:ascii="Times New Roman" w:hAnsi="Times New Roman" w:cs="Times New Roman"/>
          <w:sz w:val="26"/>
          <w:szCs w:val="28"/>
        </w:rPr>
        <w:t xml:space="preserve"> По итогам проведения профилактического визита объекту контроля публичная оценка уровня соблюдения обязательных требований не присваивается.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0.</w:t>
      </w:r>
      <w:r>
        <w:rPr>
          <w:rFonts w:ascii="Times New Roman" w:hAnsi="Times New Roman" w:cs="Times New Roman"/>
          <w:sz w:val="26"/>
          <w:szCs w:val="28"/>
        </w:rPr>
        <w:t xml:space="preserve"> </w:t>
      </w:r>
      <w:r>
        <w:rPr>
          <w:rFonts w:ascii="Times New Roman" w:hAnsi="Times New Roman" w:cs="Times New Roman"/>
          <w:sz w:val="26"/>
          <w:szCs w:val="28"/>
        </w:rPr>
        <w:t xml:space="preserve">Профилактический визит проводится по инициативе органа муниципального контроля (обязательный профилактический визит) или по инициативе контролируемого лица.</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4.3</w:t>
      </w:r>
      <w:r>
        <w:rPr>
          <w:rFonts w:ascii="Times New Roman" w:hAnsi="Times New Roman" w:cs="Times New Roman"/>
          <w:sz w:val="26"/>
          <w:szCs w:val="28"/>
        </w:rPr>
        <w:t xml:space="preserve">1.</w:t>
      </w:r>
      <w:r>
        <w:rPr>
          <w:rFonts w:ascii="Times New Roman" w:hAnsi="Times New Roman" w:cs="Times New Roman"/>
          <w:sz w:val="26"/>
          <w:szCs w:val="28"/>
        </w:rPr>
        <w:t xml:space="preserve"> </w:t>
      </w:r>
      <w:r>
        <w:rPr>
          <w:rFonts w:ascii="Times New Roman" w:hAnsi="Times New Roman" w:cs="Times New Roman"/>
          <w:sz w:val="26"/>
          <w:szCs w:val="28"/>
        </w:rPr>
        <w:t xml:space="preserve">Обязательный профилактический визит проводится по основаниям, предусмотренным частью 1 статьи 52.1 Федерального закона «О государственном контроле (надзоре) и муниципальном контроле», </w:t>
      </w:r>
      <w:r>
        <w:rPr>
          <w:rFonts w:ascii="Times New Roman" w:hAnsi="Times New Roman" w:cs="Times New Roman"/>
          <w:sz w:val="26"/>
          <w:szCs w:val="28"/>
        </w:rPr>
        <w:t xml:space="preserve">по поручению: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Президента Российской Федерации;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w:t>
      </w:r>
      <w:r>
        <w:rPr>
          <w:rFonts w:ascii="Times New Roman" w:hAnsi="Times New Roman" w:cs="Times New Roman"/>
          <w:sz w:val="26"/>
          <w:szCs w:val="28"/>
        </w:rPr>
        <w:t xml:space="preserve">)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w:t>
      </w:r>
      <w:r>
        <w:rPr>
          <w:rFonts w:ascii="Times New Roman" w:hAnsi="Times New Roman" w:cs="Times New Roman"/>
          <w:sz w:val="26"/>
          <w:szCs w:val="28"/>
        </w:rPr>
        <w:t xml:space="preserve">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3</w:t>
      </w:r>
      <w:r>
        <w:rPr>
          <w:rFonts w:ascii="Times New Roman" w:hAnsi="Times New Roman" w:cs="Times New Roman"/>
          <w:sz w:val="26"/>
          <w:szCs w:val="28"/>
        </w:rPr>
        <w:t xml:space="preserve">) высшего должностного лица субъекта Российской Федерации  </w:t>
      </w:r>
      <w:r>
        <w:rPr>
          <w:rFonts w:ascii="Times New Roman" w:hAnsi="Times New Roman" w:cs="Times New Roman"/>
          <w:sz w:val="26"/>
          <w:szCs w:val="28"/>
        </w:rPr>
        <w:t xml:space="preserve">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2.</w:t>
      </w:r>
      <w:r>
        <w:rPr>
          <w:rFonts w:ascii="Times New Roman" w:hAnsi="Times New Roman" w:cs="Times New Roman"/>
          <w:sz w:val="26"/>
          <w:szCs w:val="28"/>
        </w:rPr>
        <w:t xml:space="preserve"> Для объектов муниципального контроля отнесенных к категории среднего или умеренного риска </w:t>
      </w:r>
      <w:r>
        <w:rPr>
          <w:rFonts w:ascii="Times New Roman" w:hAnsi="Times New Roman" w:cs="Times New Roman"/>
          <w:sz w:val="26"/>
          <w:szCs w:val="28"/>
        </w:rPr>
        <w:t xml:space="preserve">по каждому виду мероприятия сроки проведения</w:t>
      </w:r>
      <w:r>
        <w:rPr>
          <w:rFonts w:ascii="Times New Roman" w:hAnsi="Times New Roman" w:cs="Times New Roman"/>
          <w:sz w:val="26"/>
          <w:szCs w:val="28"/>
        </w:rPr>
        <w:t xml:space="preserve"> определяется Правительством Российской Федерации.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Контрольный (надзорный) о</w:t>
      </w:r>
      <w:r>
        <w:rPr>
          <w:rFonts w:ascii="Times New Roman" w:hAnsi="Times New Roman" w:cs="Times New Roman"/>
          <w:sz w:val="26"/>
          <w:szCs w:val="28"/>
        </w:rPr>
        <w:t xml:space="preserve">рган вправе провести вместо планового контрольного (надзорного) мероприятия,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отношении объектов контроля (надзора), отнесенных к категории низкого риска, обязательные профилактические визиты не проводятся.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3.</w:t>
      </w:r>
      <w:r>
        <w:rPr>
          <w:rFonts w:ascii="Times New Roman" w:hAnsi="Times New Roman" w:cs="Times New Roman"/>
          <w:sz w:val="26"/>
          <w:szCs w:val="28"/>
        </w:rPr>
        <w:t xml:space="preserve"> В ходе обязательного профилактического визита инспектор может совершать следующие контрольные (надзорные) действия: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 осмотр;</w:t>
      </w:r>
      <w:r>
        <w:rPr>
          <w:sz w:val="26"/>
        </w:rPr>
      </w:r>
      <w:r/>
    </w:p>
    <w:p>
      <w:pPr>
        <w:pStyle w:val="924"/>
        <w:numPr>
          <w:ilvl w:val="0"/>
          <w:numId w:val="0"/>
        </w:numPr>
        <w:ind w:left="0" w:firstLine="0"/>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 истребование необходимых документов.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4.</w:t>
      </w:r>
      <w:r>
        <w:rPr>
          <w:rFonts w:ascii="Times New Roman" w:hAnsi="Times New Roman" w:cs="Times New Roman"/>
          <w:sz w:val="26"/>
          <w:szCs w:val="28"/>
        </w:rPr>
        <w:t xml:space="preserve"> Срок проведения обязательного профилактического визита не может превышать 10 (десять) рабочих дней.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5.</w:t>
      </w:r>
      <w:r>
        <w:rPr>
          <w:rFonts w:ascii="Times New Roman" w:hAnsi="Times New Roman" w:cs="Times New Roman"/>
          <w:sz w:val="26"/>
          <w:szCs w:val="28"/>
        </w:rPr>
        <w:t xml:space="preserve"> По окончании проведения обязательного профилактического визита составляется</w:t>
      </w:r>
      <w:r>
        <w:rPr>
          <w:rFonts w:ascii="Times New Roman" w:hAnsi="Times New Roman" w:cs="Times New Roman"/>
          <w:sz w:val="26"/>
          <w:szCs w:val="28"/>
        </w:rPr>
        <w:t xml:space="preserve"> акт о проведении обязательного профилактического визита в порядке, предусмотренном статьей 90 Федерального закона «О государственном контроле (надзоре) и муниципальном контроле» для контрольных (надзорных)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6.</w:t>
      </w:r>
      <w:r>
        <w:rPr>
          <w:rFonts w:ascii="Times New Roman" w:hAnsi="Times New Roman" w:cs="Times New Roman"/>
          <w:sz w:val="26"/>
          <w:szCs w:val="28"/>
        </w:rPr>
        <w:t xml:space="preserve">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Уполномоченное должностное лицо, указанное</w:t>
      </w:r>
      <w:r>
        <w:rPr>
          <w:rFonts w:ascii="Times New Roman" w:hAnsi="Times New Roman" w:cs="Times New Roman"/>
          <w:sz w:val="26"/>
          <w:szCs w:val="28"/>
        </w:rPr>
        <w:t xml:space="preserve"> в части 1.7 Положения,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7.</w:t>
      </w:r>
      <w:r>
        <w:rPr>
          <w:rFonts w:ascii="Times New Roman" w:hAnsi="Times New Roman" w:cs="Times New Roman"/>
          <w:sz w:val="26"/>
          <w:szCs w:val="28"/>
        </w:rPr>
        <w:t xml:space="preserve">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4.3</w:t>
      </w:r>
      <w:r>
        <w:rPr>
          <w:rFonts w:ascii="Times New Roman" w:hAnsi="Times New Roman" w:cs="Times New Roman"/>
          <w:sz w:val="26"/>
          <w:szCs w:val="28"/>
        </w:rPr>
        <w:t xml:space="preserve">8.</w:t>
      </w:r>
      <w:r>
        <w:rPr>
          <w:rFonts w:ascii="Times New Roman" w:hAnsi="Times New Roman" w:cs="Times New Roman"/>
          <w:sz w:val="26"/>
          <w:szCs w:val="28"/>
        </w:rPr>
        <w:t xml:space="preserve"> Профилактический визи</w:t>
      </w:r>
      <w:r>
        <w:rPr>
          <w:rFonts w:ascii="Times New Roman" w:hAnsi="Times New Roman" w:cs="Times New Roman"/>
          <w:sz w:val="26"/>
          <w:szCs w:val="28"/>
        </w:rPr>
        <w:t xml:space="preserve">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w:t>
      </w:r>
      <w:r>
        <w:rPr>
          <w:rFonts w:ascii="Times New Roman" w:hAnsi="Times New Roman" w:cs="Times New Roman"/>
          <w:sz w:val="26"/>
          <w:szCs w:val="28"/>
        </w:rPr>
        <w:t xml:space="preserve">39.</w:t>
      </w:r>
      <w:r>
        <w:rPr>
          <w:rFonts w:ascii="Times New Roman" w:hAnsi="Times New Roman" w:cs="Times New Roman"/>
          <w:sz w:val="26"/>
          <w:szCs w:val="28"/>
        </w:rPr>
        <w:t xml:space="preserve"> 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До 1 января 2030 </w:t>
      </w:r>
      <w:r>
        <w:rPr>
          <w:rFonts w:ascii="Times New Roman" w:hAnsi="Times New Roman" w:cs="Times New Roman"/>
          <w:sz w:val="26"/>
          <w:szCs w:val="28"/>
        </w:rPr>
        <w:t xml:space="preserve">года</w:t>
      </w:r>
      <w:r>
        <w:rPr>
          <w:rFonts w:ascii="Times New Roman" w:hAnsi="Times New Roman" w:cs="Times New Roman"/>
          <w:sz w:val="26"/>
          <w:szCs w:val="28"/>
        </w:rPr>
        <w:t xml:space="preserve"> право направления заявления обеспечивается с использованием единого портала государственных и муници</w:t>
      </w:r>
      <w:r>
        <w:rPr>
          <w:rFonts w:ascii="Times New Roman" w:hAnsi="Times New Roman" w:cs="Times New Roman"/>
          <w:sz w:val="26"/>
          <w:szCs w:val="28"/>
        </w:rPr>
        <w:t xml:space="preserve">пальных услуг. Такое заявление подписывается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 - техн</w:t>
      </w:r>
      <w:r>
        <w:rPr>
          <w:rFonts w:ascii="Times New Roman" w:hAnsi="Times New Roman" w:cs="Times New Roman"/>
          <w:sz w:val="26"/>
          <w:szCs w:val="28"/>
        </w:rPr>
        <w:t xml:space="preserve">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т</w:t>
      </w:r>
      <w:r>
        <w:rPr>
          <w:rFonts w:ascii="Times New Roman" w:hAnsi="Times New Roman" w:cs="Times New Roman"/>
          <w:sz w:val="26"/>
          <w:szCs w:val="28"/>
        </w:rPr>
        <w:t xml:space="preserve">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единого портала государственных и муниципальных услуг) или являющегося индивидуальным предпринимателем.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4.4</w:t>
      </w:r>
      <w:r>
        <w:rPr>
          <w:rFonts w:ascii="Times New Roman" w:hAnsi="Times New Roman" w:cs="Times New Roman"/>
          <w:sz w:val="26"/>
          <w:szCs w:val="28"/>
        </w:rPr>
        <w:t xml:space="preserve">0.</w:t>
      </w:r>
      <w:r>
        <w:rPr>
          <w:rFonts w:ascii="Times New Roman" w:hAnsi="Times New Roman" w:cs="Times New Roman"/>
          <w:sz w:val="26"/>
          <w:szCs w:val="28"/>
        </w:rPr>
        <w:t xml:space="preserve"> Орган муниципального контроля рассматривает заявление в течение 10 (десяти) рабочих дней и принимает решение о проведении профилакти</w:t>
      </w:r>
      <w:r>
        <w:rPr>
          <w:rFonts w:ascii="Times New Roman" w:hAnsi="Times New Roman" w:cs="Times New Roman"/>
          <w:sz w:val="26"/>
          <w:szCs w:val="28"/>
        </w:rPr>
        <w:t xml:space="preserve">ческого визита либо об отказе в его проведении по основаниям, предусмотренным частью 4 статьи 52.2 Федерального закона  «О государственном контроле (надзоре) и муниципальном контроле», о чем уведомляет контролируемое лицо.</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Решение об отказе в проведении профилактического визита может быть обжаловано контролируемым лицом в порядке, установленном Федеральным законом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4.4</w:t>
      </w:r>
      <w:r>
        <w:rPr>
          <w:rFonts w:ascii="Times New Roman" w:hAnsi="Times New Roman" w:cs="Times New Roman"/>
          <w:sz w:val="26"/>
          <w:szCs w:val="28"/>
        </w:rPr>
        <w:t xml:space="preserve">1.</w:t>
      </w:r>
      <w:r>
        <w:rPr>
          <w:rFonts w:ascii="Times New Roman" w:hAnsi="Times New Roman" w:cs="Times New Roman"/>
          <w:sz w:val="26"/>
          <w:szCs w:val="28"/>
        </w:rPr>
        <w:t xml:space="preserve"> В случае принятия решения о проведении профилактического визита орган муниципального контроля в течение 20 (двадцати) рабочих дней согласовывает дату его проведения с контролируемым лицом любым способом, обеспечивающим фиксирование такого согласования.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Орган муниципального контроля уведомляет контролируемое лицо о проведении профилактического визита не позднее чем за двадцать четыре часа до его начала.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4.4</w:t>
      </w:r>
      <w:r>
        <w:rPr>
          <w:rFonts w:ascii="Times New Roman" w:hAnsi="Times New Roman" w:cs="Times New Roman"/>
          <w:sz w:val="26"/>
          <w:szCs w:val="28"/>
        </w:rPr>
        <w:t xml:space="preserve">2.</w:t>
      </w:r>
      <w:r>
        <w:rPr>
          <w:rFonts w:ascii="Times New Roman" w:hAnsi="Times New Roman" w:cs="Times New Roman"/>
          <w:sz w:val="26"/>
          <w:szCs w:val="28"/>
        </w:rPr>
        <w:t xml:space="preserve"> Контролируемое лицо вправе отозвать заявление либо направить отказ от проведения профилактического визита, уведомив об этом орган муниципального контроля не позднее чем за 5 (пять) рабочих дней до даты его проведения.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4.4</w:t>
      </w:r>
      <w:r>
        <w:rPr>
          <w:rFonts w:ascii="Times New Roman" w:hAnsi="Times New Roman" w:cs="Times New Roman"/>
          <w:sz w:val="26"/>
          <w:szCs w:val="28"/>
        </w:rPr>
        <w:t xml:space="preserve">3.</w:t>
      </w:r>
      <w:r>
        <w:rPr>
          <w:rFonts w:ascii="Times New Roman" w:hAnsi="Times New Roman" w:cs="Times New Roman"/>
          <w:sz w:val="26"/>
          <w:szCs w:val="28"/>
        </w:rPr>
        <w:t xml:space="preserve"> В рамках профилактического визита при согласии контролируемого лица инспектор проводит инструментальное обследование.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4.4</w:t>
      </w:r>
      <w:r>
        <w:rPr>
          <w:rFonts w:ascii="Times New Roman" w:hAnsi="Times New Roman" w:cs="Times New Roman"/>
          <w:sz w:val="26"/>
          <w:szCs w:val="28"/>
        </w:rPr>
        <w:t xml:space="preserve">4. </w:t>
      </w:r>
      <w:r>
        <w:rPr>
          <w:rFonts w:ascii="Times New Roman" w:hAnsi="Times New Roman" w:cs="Times New Roman"/>
          <w:sz w:val="26"/>
          <w:szCs w:val="28"/>
        </w:rPr>
        <w:t xml:space="preserve">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выдаются.</w:t>
      </w:r>
      <w:r>
        <w:rPr>
          <w:sz w:val="26"/>
        </w:rPr>
      </w:r>
      <w:r/>
    </w:p>
    <w:p>
      <w:pPr>
        <w:pStyle w:val="924"/>
        <w:ind w:left="0" w:right="0" w:hanging="57"/>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ab/>
        <w:tab/>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w:t>
      </w:r>
      <w:r>
        <w:rPr>
          <w:rFonts w:ascii="Times New Roman" w:hAnsi="Times New Roman" w:cs="Times New Roman"/>
          <w:sz w:val="26"/>
          <w:szCs w:val="28"/>
        </w:rPr>
        <w:t xml:space="preserve">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указанному в части 1.7. Положения, для принятия решения о проведении контрольных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r>
      <w:r>
        <w:rPr>
          <w:sz w:val="26"/>
        </w:rPr>
      </w:r>
      <w:r/>
    </w:p>
    <w:p>
      <w:pPr>
        <w:pStyle w:val="924"/>
        <w:ind w:firstLine="709"/>
        <w:jc w:val="center"/>
        <w:spacing w:lineRule="auto" w:line="240"/>
        <w:rPr>
          <w:rFonts w:ascii="Times New Roman" w:hAnsi="Times New Roman" w:cs="Times New Roman"/>
          <w:b/>
          <w:bCs/>
          <w:sz w:val="26"/>
          <w:szCs w:val="28"/>
        </w:rPr>
      </w:pPr>
      <w:r>
        <w:rPr>
          <w:rFonts w:ascii="Times New Roman" w:hAnsi="Times New Roman" w:cs="Times New Roman"/>
          <w:b/>
          <w:bCs/>
          <w:sz w:val="26"/>
          <w:szCs w:val="28"/>
        </w:rPr>
        <w:t xml:space="preserve">Раздел 5. Осуществление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 </w:t>
      </w:r>
      <w:r>
        <w:rPr>
          <w:rFonts w:ascii="Times New Roman" w:hAnsi="Times New Roman" w:cs="Times New Roman"/>
          <w:sz w:val="26"/>
          <w:szCs w:val="28"/>
        </w:rPr>
        <w:t xml:space="preserve">Муниципальный земельный контроль на территории </w:t>
      </w:r>
      <w:r>
        <w:rPr>
          <w:rFonts w:ascii="Times New Roman" w:hAnsi="Times New Roman" w:cs="Times New Roman"/>
          <w:sz w:val="26"/>
          <w:szCs w:val="28"/>
        </w:rPr>
        <w:t xml:space="preserve">Новооскольского </w:t>
      </w:r>
      <w:r>
        <w:rPr>
          <w:rFonts w:ascii="Times New Roman" w:hAnsi="Times New Roman" w:cs="Times New Roman"/>
          <w:sz w:val="26"/>
          <w:szCs w:val="28"/>
        </w:rPr>
        <w:t xml:space="preserve">муниципального округа осуществляется без проведения плановых контрольных (надзорных)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По результатам проведения контрольных (надзорных) мероприятий публичная оценка уровня соблюдения обязательных требований не присваивается.</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5.2. </w:t>
      </w:r>
      <w:r>
        <w:rPr>
          <w:rFonts w:ascii="Times New Roman" w:hAnsi="Times New Roman" w:cs="Times New Roman"/>
          <w:sz w:val="26"/>
          <w:szCs w:val="28"/>
        </w:rPr>
        <w:t xml:space="preserve">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органа</w:t>
      </w:r>
      <w:r>
        <w:rPr>
          <w:rFonts w:ascii="Times New Roman" w:hAnsi="Times New Roman" w:cs="Times New Roman"/>
          <w:sz w:val="26"/>
          <w:szCs w:val="28"/>
        </w:rPr>
        <w:t xml:space="preserve"> муниципального контроля, подписываемое уполномоченным лицом, указанным в части 1.7 настоящего Положения, в котором указываются сведения, установленные в части 1 статьи 64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Контрольное (надзорное) мероприятие, предусматривающее взаимодействие с контролируемым лицом, может быть начато посл</w:t>
      </w:r>
      <w:r>
        <w:rPr>
          <w:rFonts w:ascii="Times New Roman" w:hAnsi="Times New Roman" w:cs="Times New Roman"/>
          <w:sz w:val="26"/>
          <w:szCs w:val="28"/>
        </w:rPr>
        <w:t xml:space="preserve">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w:t>
      </w:r>
      <w:r>
        <w:rPr>
          <w:rFonts w:ascii="Times New Roman" w:hAnsi="Times New Roman" w:cs="Times New Roman"/>
          <w:sz w:val="26"/>
          <w:szCs w:val="28"/>
        </w:rPr>
        <w:t xml:space="preserve">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w:t>
      </w:r>
      <w:r>
        <w:rPr>
          <w:rFonts w:ascii="Times New Roman" w:hAnsi="Times New Roman" w:cs="Times New Roman"/>
          <w:sz w:val="26"/>
          <w:szCs w:val="28"/>
        </w:rPr>
        <w:t xml:space="preserve">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Контрольные (надзорные) мероприятия без взаимодействия проводятся органом муниципального контроля на основании заданий уполномоченных должностных лиц, указанных в части 1.7 настоящего Положения.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 Внеплановые контрольн</w:t>
      </w:r>
      <w:r>
        <w:rPr>
          <w:rFonts w:ascii="Times New Roman" w:hAnsi="Times New Roman" w:cs="Times New Roman"/>
          <w:sz w:val="26"/>
          <w:szCs w:val="28"/>
        </w:rPr>
        <w:t xml:space="preserve">ые (надзорные) </w:t>
      </w:r>
      <w:r>
        <w:rPr>
          <w:rFonts w:ascii="Times New Roman" w:hAnsi="Times New Roman" w:cs="Times New Roman"/>
          <w:sz w:val="26"/>
          <w:szCs w:val="28"/>
        </w:rPr>
        <w:t xml:space="preserve">мероприятия, за исключением внеплановых контрольных (надзорных) мероприятий без взаимодействия, проводятся по основаниям, предусмотренным частью 1 статьи 66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5.4. </w:t>
      </w:r>
      <w:r>
        <w:rPr>
          <w:rFonts w:ascii="Times New Roman" w:hAnsi="Times New Roman" w:cs="Times New Roman"/>
          <w:sz w:val="26"/>
          <w:szCs w:val="28"/>
        </w:rPr>
        <w:t xml:space="preserve">В случае, если внеплановое контрольное (надзорное) мероприятие может быть проведено только после согласования с прокуратурой </w:t>
      </w:r>
      <w:r>
        <w:rPr>
          <w:rFonts w:ascii="Times New Roman" w:hAnsi="Times New Roman" w:cs="Times New Roman"/>
          <w:sz w:val="26"/>
          <w:szCs w:val="28"/>
        </w:rPr>
        <w:t xml:space="preserve">Нов</w:t>
      </w:r>
      <w:r>
        <w:rPr>
          <w:rFonts w:ascii="Times New Roman" w:hAnsi="Times New Roman" w:cs="Times New Roman"/>
          <w:sz w:val="26"/>
          <w:szCs w:val="28"/>
        </w:rPr>
        <w:t xml:space="preserve">о</w:t>
      </w:r>
      <w:r>
        <w:rPr>
          <w:rFonts w:ascii="Times New Roman" w:hAnsi="Times New Roman" w:cs="Times New Roman"/>
          <w:sz w:val="26"/>
          <w:szCs w:val="28"/>
        </w:rPr>
        <w:t xml:space="preserve">оскольского</w:t>
      </w:r>
      <w:r>
        <w:rPr>
          <w:rFonts w:ascii="Times New Roman" w:hAnsi="Times New Roman" w:cs="Times New Roman"/>
          <w:sz w:val="26"/>
          <w:szCs w:val="28"/>
        </w:rPr>
        <w:t xml:space="preserve"> района, указанное мероприятие проводится после получения такого согласования в установленном Федеральным законом «О государственном контроле (надзоре) и муниципальном контроле» порядке.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5.5. В день подписания решения о проведении внепланового контрольного (надзорного) мероприятия в целях согласования его проведения орган муниципального контроля направляет в прокуратуру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района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5.6. Орган муниципального контроля при поступлении сведен</w:t>
      </w:r>
      <w:r>
        <w:rPr>
          <w:rFonts w:ascii="Times New Roman" w:hAnsi="Times New Roman" w:cs="Times New Roman"/>
          <w:sz w:val="26"/>
          <w:szCs w:val="28"/>
        </w:rPr>
        <w:t xml:space="preserve">ий, предусмотренных частью 1 статьи 60 Федерального закона «О государственном контроле (надзоре) и муниципальном контроле», и в случае необходимости принятия неотложных мер по предотвращению и устранению нарушений обязательных требований приступает к прове</w:t>
      </w:r>
      <w:r>
        <w:rPr>
          <w:rFonts w:ascii="Times New Roman" w:hAnsi="Times New Roman" w:cs="Times New Roman"/>
          <w:sz w:val="26"/>
          <w:szCs w:val="28"/>
        </w:rPr>
        <w:t xml:space="preserve">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w:t>
      </w:r>
      <w:r>
        <w:rPr>
          <w:rFonts w:ascii="Times New Roman" w:hAnsi="Times New Roman" w:cs="Times New Roman"/>
          <w:sz w:val="26"/>
          <w:szCs w:val="28"/>
        </w:rPr>
        <w:t xml:space="preserve">рок документов, предусмотренных частью 5 статьи 66 Федерального закона «О государственном контроле (надзоре) и муниципальном контроле». В этом случае контролируемое лицо может не уведомляться о проведении внепланового контрольного (надзорного) мероприятия.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5.7. </w:t>
      </w:r>
      <w:r>
        <w:rPr>
          <w:rFonts w:ascii="Times New Roman" w:hAnsi="Times New Roman" w:cs="Times New Roman"/>
          <w:sz w:val="26"/>
          <w:szCs w:val="28"/>
        </w:rPr>
        <w:t xml:space="preserve">В рамках осуществления муниципального земельного контроля при взаимодействии с контролируемым лицом проводятся следующие внеплановые контрольные (надзорные) мероприятия: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инспекционный визит;</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документарная проверка;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выездная проверка.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5.8. В ходе внепланового инспекционного визита (далее – инспекционный визит) могут совершаться следующие контрольные (надзорные) действия:</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осмотр;</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опрос;</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w:t>
      </w:r>
      <w:r>
        <w:rPr>
          <w:rFonts w:ascii="Times New Roman" w:hAnsi="Times New Roman" w:cs="Times New Roman"/>
          <w:sz w:val="26"/>
          <w:szCs w:val="28"/>
        </w:rPr>
        <w:t xml:space="preserve">инструментальное обследование;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получение письменных объяснений;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w:t>
      </w:r>
      <w:r>
        <w:rPr>
          <w:rFonts w:ascii="Times New Roman" w:hAnsi="Times New Roman" w:cs="Times New Roman"/>
          <w:sz w:val="26"/>
          <w:szCs w:val="28"/>
        </w:rPr>
        <w:t xml:space="preserve">9.</w:t>
      </w:r>
      <w:r>
        <w:rPr>
          <w:rFonts w:ascii="Times New Roman" w:hAnsi="Times New Roman" w:cs="Times New Roman"/>
          <w:sz w:val="26"/>
          <w:szCs w:val="28"/>
        </w:rPr>
        <w:t xml:space="preserve"> Инспе</w:t>
      </w:r>
      <w:r>
        <w:rPr>
          <w:rFonts w:ascii="Times New Roman" w:hAnsi="Times New Roman" w:cs="Times New Roman"/>
          <w:sz w:val="26"/>
          <w:szCs w:val="28"/>
        </w:rPr>
        <w:t xml:space="preserve">кционный визит проводится по месту нахождения контролируемого лица (по месту осуществления деятельности), указанному в Едином государственном реестре юридических лиц или Едином государственном реестре индивидуальных предпринимателей, либо объекта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5.10. Инспекционный визит проводится без предварите</w:t>
      </w:r>
      <w:r>
        <w:rPr>
          <w:rFonts w:ascii="Times New Roman" w:hAnsi="Times New Roman" w:cs="Times New Roman"/>
          <w:sz w:val="26"/>
          <w:szCs w:val="28"/>
        </w:rPr>
        <w:t xml:space="preserve">льного уведомления контролируемых лиц и собственников объектов контроля и не может превышать один рабочий день по одному месту осуществления инспекционного визита в одном месте осуществления деятельности либо на одном производственном объекте (территории).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5.11. </w:t>
      </w:r>
      <w:r>
        <w:rPr>
          <w:rFonts w:ascii="Times New Roman" w:hAnsi="Times New Roman" w:cs="Times New Roman"/>
          <w:sz w:val="26"/>
          <w:szCs w:val="28"/>
        </w:rPr>
        <w:t xml:space="preserve">Инспекционный визит м</w:t>
      </w:r>
      <w:r>
        <w:rPr>
          <w:rFonts w:ascii="Times New Roman" w:hAnsi="Times New Roman" w:cs="Times New Roman"/>
          <w:sz w:val="26"/>
          <w:szCs w:val="28"/>
        </w:rPr>
        <w:t xml:space="preserve">ожет проводить</w:t>
      </w:r>
      <w:r>
        <w:rPr>
          <w:rFonts w:ascii="Times New Roman" w:hAnsi="Times New Roman" w:cs="Times New Roman"/>
          <w:sz w:val="26"/>
          <w:szCs w:val="28"/>
        </w:rPr>
        <w:t xml:space="preserve">ся только по согласованию с органами прокуратуры, за исключением случаев его проведения в соответствии с пунктами 3, 4 части 1 статьи 57 и частью 12 статьи 66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5.12. </w:t>
      </w:r>
      <w:r>
        <w:rPr>
          <w:rFonts w:ascii="Times New Roman" w:hAnsi="Times New Roman" w:cs="Times New Roman"/>
          <w:sz w:val="26"/>
          <w:szCs w:val="28"/>
        </w:rPr>
        <w:t xml:space="preserve">В ходе внеплановой документарной проверки (далее – документарная проверка) могут совершаться следующие контрольные (надзорные) действия: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w:t>
      </w:r>
      <w:r>
        <w:rPr>
          <w:rFonts w:ascii="Times New Roman" w:hAnsi="Times New Roman" w:cs="Times New Roman"/>
          <w:sz w:val="26"/>
          <w:szCs w:val="28"/>
        </w:rPr>
        <w:t xml:space="preserve">получение письменных объяснений;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w:t>
      </w:r>
      <w:r>
        <w:rPr>
          <w:rFonts w:ascii="Times New Roman" w:hAnsi="Times New Roman" w:cs="Times New Roman"/>
          <w:sz w:val="26"/>
          <w:szCs w:val="28"/>
        </w:rPr>
        <w:t xml:space="preserve">истребование документов.</w:t>
      </w:r>
      <w:r>
        <w:rPr>
          <w:sz w:val="26"/>
        </w:rPr>
      </w:r>
      <w:r/>
    </w:p>
    <w:p>
      <w:pPr>
        <w:pStyle w:val="924"/>
        <w:ind w:firstLine="709"/>
        <w:jc w:val="both"/>
        <w:spacing w:lineRule="auto" w:line="240"/>
        <w:rPr>
          <w:sz w:val="26"/>
        </w:rPr>
      </w:pPr>
      <w:r>
        <w:rPr>
          <w:rFonts w:ascii="Times New Roman" w:hAnsi="Times New Roman" w:cs="Times New Roman"/>
          <w:sz w:val="26"/>
          <w:szCs w:val="28"/>
        </w:rPr>
        <w:t xml:space="preserve">5.13. </w:t>
      </w:r>
      <w:r>
        <w:rPr>
          <w:rFonts w:ascii="Times New Roman" w:hAnsi="Times New Roman" w:cs="Times New Roman"/>
          <w:sz w:val="26"/>
          <w:szCs w:val="28"/>
        </w:rPr>
        <w:t xml:space="preserve">Документарная проверка проводится по месту нахождения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5.14. Предметом документарной проверки являются сведения, содержащиеся в докумен</w:t>
      </w:r>
      <w:r>
        <w:rPr>
          <w:rFonts w:ascii="Times New Roman" w:hAnsi="Times New Roman" w:cs="Times New Roman"/>
          <w:sz w:val="26"/>
          <w:szCs w:val="28"/>
        </w:rPr>
        <w:t xml:space="preserve">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5.15. </w:t>
      </w:r>
      <w:r>
        <w:rPr>
          <w:rFonts w:ascii="Times New Roman" w:hAnsi="Times New Roman" w:cs="Times New Roman"/>
          <w:sz w:val="26"/>
          <w:szCs w:val="28"/>
        </w:rPr>
        <w:t xml:space="preserve">В ходе документарной проверки рассматриваются документы контролируемых лиц, имеющиеся в распоряжении орг</w:t>
      </w:r>
      <w:r>
        <w:rPr>
          <w:rFonts w:ascii="Times New Roman" w:hAnsi="Times New Roman" w:cs="Times New Roman"/>
          <w:sz w:val="26"/>
          <w:szCs w:val="28"/>
        </w:rPr>
        <w:t xml:space="preserve">ана муниципального контроля, результаты предыдущих контрольных (надзорных) мероприятий, материалы рассмотрения дел об административных правонарушениях, иные документы о результатах осуществленных в отношении этих контролируемых лиц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5.16. В случае, если достоверность сведений, содержащихся в документах, имеющихся в распоряжении </w:t>
      </w:r>
      <w:r>
        <w:rPr>
          <w:rFonts w:ascii="Times New Roman" w:hAnsi="Times New Roman" w:cs="Times New Roman"/>
          <w:sz w:val="26"/>
          <w:szCs w:val="28"/>
        </w:rPr>
        <w:t xml:space="preserve">органа муниципального контроля, вызывает обоснованные сомнения либо эти сведения не позволяют оценить исполнение контролируемым лицом обязательных требований, орган муниципального контроля направляет в адрес контролируемого лица требование представить иные</w:t>
      </w:r>
      <w:r>
        <w:rPr>
          <w:rFonts w:ascii="Times New Roman" w:hAnsi="Times New Roman" w:cs="Times New Roman"/>
          <w:sz w:val="26"/>
          <w:szCs w:val="28"/>
        </w:rPr>
        <w:t xml:space="preserve"> необходимые для рассмотрения в ходе документарной проверки документы и сведения. В течение 10 (десяти) рабочих дней со дня получения данного требования контролируемое лицо обязано направить в орган муниципального контроля указанные в требовании документы.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если в ходе доку</w:t>
      </w:r>
      <w:r>
        <w:rPr>
          <w:rFonts w:ascii="Times New Roman" w:hAnsi="Times New Roman" w:cs="Times New Roman"/>
          <w:sz w:val="26"/>
          <w:szCs w:val="28"/>
        </w:rPr>
        <w:t xml:space="preserve">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муниципального контроля документах </w:t>
      </w:r>
      <w:r>
        <w:rPr>
          <w:rFonts w:ascii="Times New Roman" w:hAnsi="Times New Roman" w:cs="Times New Roman"/>
          <w:sz w:val="26"/>
          <w:szCs w:val="28"/>
        </w:rPr>
        <w:t xml:space="preserve">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(десяти) рабочих дней необходимые письменные объяснения.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Контролируем</w:t>
      </w:r>
      <w:r>
        <w:rPr>
          <w:rFonts w:ascii="Times New Roman" w:hAnsi="Times New Roman" w:cs="Times New Roman"/>
          <w:sz w:val="26"/>
          <w:szCs w:val="28"/>
        </w:rPr>
        <w:t xml:space="preserve">ое лицо, представляющее в орган муниципального контроля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w:t>
      </w:r>
      <w:r>
        <w:rPr>
          <w:rFonts w:ascii="Times New Roman" w:hAnsi="Times New Roman" w:cs="Times New Roman"/>
          <w:sz w:val="26"/>
          <w:szCs w:val="28"/>
        </w:rPr>
        <w:t xml:space="preserve"> в имеющихся у органа муниципального контроля документах и (или) полученным при осуществлении муниципального контроля, вправе дополнительно представить в орган муниципального контроля документы, подтверждающие достоверность ранее представленных документов.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5.17. Срок проведения документарной проверки не может превышать                 10 (десять) рабочих дней. На период с момента направления органом муниципального контроля контролируемому лицу требования представить необхо</w:t>
      </w:r>
      <w:r>
        <w:rPr>
          <w:rFonts w:ascii="Times New Roman" w:hAnsi="Times New Roman" w:cs="Times New Roman"/>
          <w:sz w:val="26"/>
          <w:szCs w:val="28"/>
        </w:rPr>
        <w:t xml:space="preserve">димые для рассмотрения в ходе документарной проверки документы до момента представления указанных в требовании документов в орган муниципального контроля, а также период с момента направления контролируемому лицу информации органа муниципального контроля о</w:t>
      </w:r>
      <w:r>
        <w:rPr>
          <w:rFonts w:ascii="Times New Roman" w:hAnsi="Times New Roman" w:cs="Times New Roman"/>
          <w:sz w:val="26"/>
          <w:szCs w:val="28"/>
        </w:rPr>
        <w:t xml:space="preserve">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муниципального контроля документах и (или) полученным при о</w:t>
      </w:r>
      <w:r>
        <w:rPr>
          <w:rFonts w:ascii="Times New Roman" w:hAnsi="Times New Roman" w:cs="Times New Roman"/>
          <w:sz w:val="26"/>
          <w:szCs w:val="28"/>
        </w:rPr>
        <w:t xml:space="preserve">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орган муниципального контроля исчисление срока проведения документарной проверки приостанавливается.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5.18. Документарная проверка</w:t>
      </w:r>
      <w:r>
        <w:rPr>
          <w:rFonts w:ascii="Times New Roman" w:hAnsi="Times New Roman" w:cs="Times New Roman"/>
          <w:sz w:val="26"/>
          <w:szCs w:val="28"/>
        </w:rPr>
        <w:t xml:space="preserve">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5.19. В ходе внеплановой выездной проверки (далее – выездная проверка) могут совершаться следующие контрольные (надзорные) действия:</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осмотр;</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досмотр;</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опрос;</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получение письменных объяснений;</w:t>
      </w:r>
      <w:r>
        <w:rPr>
          <w:sz w:val="26"/>
        </w:rPr>
      </w:r>
      <w:r/>
    </w:p>
    <w:p>
      <w:pPr>
        <w:pStyle w:val="924"/>
        <w:numPr>
          <w:ilvl w:val="0"/>
          <w:numId w:val="0"/>
        </w:numPr>
        <w:ind w:left="0"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истребование документов.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5.20. Выездная проверка проводится по месту нахождения контролируемого лица либо объекта контроля.</w:t>
      </w:r>
      <w:r>
        <w:rPr>
          <w:sz w:val="26"/>
        </w:rPr>
      </w:r>
      <w:r/>
    </w:p>
    <w:p>
      <w:pPr>
        <w:pStyle w:val="924"/>
        <w:ind w:left="0" w:right="0" w:firstLine="0"/>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ab/>
        <w:t xml:space="preserve">Выездная проверка может быть проведена с использованием средств дистанционного взаимодействия, в том числе посредством видео - конференц-связи, а также с использованием мобильного приложения «Инспектор».</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5.21. Выездная проверка проводится в случае, если не представляется возможным: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удостовериться в полноте и достоверности сведений, которые содержатся в находящихся в распоряжении органа муниципального контроля или в запрашиваемых им документах и объяснениях контролируемого лица;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оценить соответствие деятельности, действий (бездействия) контролируемого лица и (или) принадлежащих ему и (или) и</w:t>
      </w:r>
      <w:r>
        <w:rPr>
          <w:rFonts w:ascii="Times New Roman" w:hAnsi="Times New Roman" w:cs="Times New Roman"/>
          <w:sz w:val="26"/>
          <w:szCs w:val="28"/>
        </w:rPr>
        <w:t xml:space="preserve">спользуемых им объектов контроля обязательным требованиям без выезда на указанное в абзаце первом части 5.20 Положения место и совершения необходимых контрольных (надзорных) действий, предусмотренных в рамках иного вида контрольных (надзорных)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5.22. Выездная проверка начинается с предъявления служебного удостоверения должностными лицами, ознакомления руководителя контролируемого лица, контролируемого лица или их уполномоченного представителя с заверенной печатью бумажной копией ре</w:t>
      </w:r>
      <w:r>
        <w:rPr>
          <w:rFonts w:ascii="Times New Roman" w:hAnsi="Times New Roman" w:cs="Times New Roman"/>
          <w:sz w:val="26"/>
          <w:szCs w:val="28"/>
        </w:rPr>
        <w:t xml:space="preserve">шения о проведении контрольного (надзорного) мероприятия либо решением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w:t>
      </w:r>
      <w:r>
        <w:rPr>
          <w:rFonts w:ascii="Times New Roman" w:hAnsi="Times New Roman" w:cs="Times New Roman"/>
          <w:sz w:val="26"/>
          <w:szCs w:val="28"/>
        </w:rPr>
        <w:t xml:space="preserve">дзорного) мероприятия в едином реестре контрольных (надзорных) мероприятий, с полномочиями проводящих выездную проверку инспекторов, а также с целями, задачами, основаниями проведения выездной проверки, видами и объемом контрольных (надзорных)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5.23. Заверенная копия решения о проведении выездной проверки на бумажном носителе при проведении выездной проверки вручается руководителю контролируемого лица, контролируемому лицу, их уполномоченному представителю.</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5.24. На экземпляре копии решения о проведении внеплановой выездной проверки инспектора руководитель или уполномоченное должностное лицо, уполномоченный предс</w:t>
      </w:r>
      <w:r>
        <w:rPr>
          <w:rFonts w:ascii="Times New Roman" w:hAnsi="Times New Roman" w:cs="Times New Roman"/>
          <w:sz w:val="26"/>
          <w:szCs w:val="28"/>
        </w:rPr>
        <w:t xml:space="preserve">тавитель контролируемого лица, контролируемое лицо, его уполномоченный представитель делает отметку о времени и дате ознакомления с решением о проведении выездной проверки. С момента проставления данной отметки начинается срок проведения выездной проверки.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5.25. </w:t>
      </w:r>
      <w:r>
        <w:rPr>
          <w:rFonts w:ascii="Times New Roman" w:hAnsi="Times New Roman" w:cs="Times New Roman"/>
          <w:sz w:val="26"/>
          <w:szCs w:val="28"/>
        </w:rPr>
        <w:t xml:space="preserve">В случае, если руководитель или уполномоченное должностное лицо контролируемого лица, контролируемое лицо, уполномоченный представитель контролируемого лица отказывается или иным способом уклоняетс</w:t>
      </w:r>
      <w:r>
        <w:rPr>
          <w:rFonts w:ascii="Times New Roman" w:hAnsi="Times New Roman" w:cs="Times New Roman"/>
          <w:sz w:val="26"/>
          <w:szCs w:val="28"/>
        </w:rPr>
        <w:t xml:space="preserve">я от ознакомления с решением о проведении выездной проверки и такое уклонение (отказ) от ознакомления с решением не является препятствием для начала осуществления выездной проверки, инспектор, проводящий проверку, делает соответствующую отметку на решении.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5.26. Срок проведения выездной проверки не может превышать 10 (де</w:t>
      </w:r>
      <w:r>
        <w:rPr>
          <w:rFonts w:ascii="Times New Roman" w:hAnsi="Times New Roman" w:cs="Times New Roman"/>
          <w:sz w:val="26"/>
          <w:szCs w:val="28"/>
        </w:rPr>
        <w:t xml:space="preserve">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(пятьдесят) часов для малого предприятия и 15 (пятнадцать) часов для микропредприятия.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5.27. В сроке проведения выездной проверки, указанном в части 5.26 настоящего Положения, учитывается исключительно время нахождения инспектора на территории проверяемого контролируемого лица.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5.28. Внеплановая выездная проверка м</w:t>
      </w:r>
      <w:r>
        <w:rPr>
          <w:rFonts w:ascii="Times New Roman" w:hAnsi="Times New Roman" w:cs="Times New Roman"/>
          <w:sz w:val="26"/>
          <w:szCs w:val="28"/>
        </w:rPr>
        <w:t xml:space="preserve">ожет проводиться только по согласованию с органами прокуратуры, за исключением случаев ее проведения в соответствии с пунктами 3, 4 части 1 статьи 57 и частью 12 статьи 66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5.29. Для фиксации инспектором и лицами, привлеченными к совершению контрольных действий, доказательств нарушений обязательных требований может использоваться фотосъемка, аудио- и видеозапись, иные способы фиксации доказательств.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Решение о необходимости использования средств аудиозаписи и видеозаписи, фотоаппаратов, необходимых для проведения контрольных мероприятий, фотосъемки, аудио- и видеозаписи, иных способов ф</w:t>
      </w:r>
      <w:r>
        <w:rPr>
          <w:rFonts w:ascii="Times New Roman" w:hAnsi="Times New Roman" w:cs="Times New Roman"/>
          <w:sz w:val="26"/>
          <w:szCs w:val="28"/>
        </w:rPr>
        <w:t xml:space="preserve">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 Для фиксации доказательств нарушений обязательных требований могут быть использованы любые имеющиеся в ра</w:t>
      </w:r>
      <w:r>
        <w:rPr>
          <w:rFonts w:ascii="Times New Roman" w:hAnsi="Times New Roman" w:cs="Times New Roman"/>
          <w:sz w:val="26"/>
          <w:szCs w:val="28"/>
        </w:rPr>
        <w:t xml:space="preserve">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Фиксация нарушений обязательных требований при помощи ф</w:t>
      </w:r>
      <w:r>
        <w:rPr>
          <w:rFonts w:ascii="Times New Roman" w:hAnsi="Times New Roman" w:cs="Times New Roman"/>
          <w:sz w:val="26"/>
          <w:szCs w:val="28"/>
        </w:rPr>
        <w:t xml:space="preserve">отосъемки проводится не менее чем двумя снимками каждого из выявленных нарушений обязательных требований. Аудио- и видеозапись осуществляется в ходе проведения контрольного (надзорного) мероприятия непрерывно, с уведомлением в </w:t>
      </w:r>
      <w:r>
        <w:rPr>
          <w:rFonts w:ascii="Times New Roman" w:hAnsi="Times New Roman" w:cs="Times New Roman"/>
          <w:sz w:val="26"/>
          <w:szCs w:val="28"/>
        </w:rPr>
        <w:t xml:space="preserve">начале и </w:t>
      </w:r>
      <w:r>
        <w:rPr>
          <w:rFonts w:ascii="Times New Roman" w:hAnsi="Times New Roman" w:cs="Times New Roman"/>
          <w:sz w:val="26"/>
          <w:szCs w:val="28"/>
        </w:rPr>
        <w:t xml:space="preserve">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и видеозаписи яв</w:t>
      </w:r>
      <w:r>
        <w:rPr>
          <w:rFonts w:ascii="Times New Roman" w:hAnsi="Times New Roman" w:cs="Times New Roman"/>
          <w:sz w:val="26"/>
          <w:szCs w:val="28"/>
        </w:rPr>
        <w:t xml:space="preserve">ляются приложением к акту контрольного мероприятия.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5.30. 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(надзорного) мероприятия, в следующих случаях:</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временной нетрудоспособности, имеющей подтверждение лечебного учреждения;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нахождения в командировке;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нахождения в отпуске за пределами Новооскольского муниципального округа;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необходимости явки по вызову (извещениям, повесткам) судов, правоохранительных органов, военных комиссариатов;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5.31. При поступлении от индивидуального предпринимателя, гражданина, являющихся контролируемыми лицами, информации о невозможности присутствия при проведении контрольного (надзорного) мероприятия провед</w:t>
      </w:r>
      <w:r>
        <w:rPr>
          <w:rFonts w:ascii="Times New Roman" w:hAnsi="Times New Roman" w:cs="Times New Roman"/>
          <w:sz w:val="26"/>
          <w:szCs w:val="28"/>
        </w:rPr>
        <w:t xml:space="preserve">ение контрольного (надзорного) мероприятия переносится органом муниципального контроля на срок, необходимый для устранения обстоятельств, послуживших поводом для данного обращения индивидуального предпринимателя, гражданина в орган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5.32. При проведении муниципального контроля также проводятся мероприятия без взаимодействия: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наблюдение за соблюдением обязательных требований (мониторинг безопасности);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выездное обследование.</w:t>
      </w:r>
      <w:r>
        <w:rPr>
          <w:sz w:val="26"/>
        </w:rPr>
      </w:r>
      <w:r/>
    </w:p>
    <w:p>
      <w:pPr>
        <w:pStyle w:val="924"/>
        <w:ind w:left="0" w:right="0" w:firstLine="0"/>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ab/>
        <w:t xml:space="preserve">5.33. Наблюдение за соблюдением обязательных требований (мониторинг безопасности) осуществляется путем сбора, анализа данных об объектах контроля, имеющихся у органа муниц</w:t>
      </w:r>
      <w:r>
        <w:rPr>
          <w:rFonts w:ascii="Times New Roman" w:hAnsi="Times New Roman" w:cs="Times New Roman"/>
          <w:sz w:val="26"/>
          <w:szCs w:val="28"/>
        </w:rPr>
        <w:t xml:space="preserve">ипального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w:t>
      </w:r>
      <w:r>
        <w:rPr>
          <w:rFonts w:ascii="Times New Roman" w:hAnsi="Times New Roman" w:cs="Times New Roman"/>
          <w:sz w:val="26"/>
          <w:szCs w:val="28"/>
        </w:rPr>
        <w:t xml:space="preserve">льных информационных системах, данных из сети«Интернет»,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sz w:val="26"/>
        </w:rPr>
      </w:r>
      <w:r/>
    </w:p>
    <w:p>
      <w:pPr>
        <w:pStyle w:val="924"/>
        <w:ind w:left="0" w:right="0" w:firstLine="0"/>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ab/>
        <w:t xml:space="preserve">5.34 </w:t>
      </w:r>
      <w:r>
        <w:rPr>
          <w:rFonts w:ascii="Times New Roman" w:hAnsi="Times New Roman" w:cs="Times New Roman"/>
          <w:sz w:val="26"/>
          <w:szCs w:val="28"/>
        </w:rPr>
        <w:t xml:space="preserve">Если в ходе наблюдения за соблюдением обязательных требований выявлены факты причинения вреда (ущерба) или возникновения угрозы причинения вре</w:t>
      </w:r>
      <w:r>
        <w:rPr>
          <w:rFonts w:ascii="Times New Roman" w:hAnsi="Times New Roman" w:cs="Times New Roman"/>
          <w:sz w:val="26"/>
          <w:szCs w:val="28"/>
        </w:rPr>
        <w:t xml:space="preserve">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r>
        <w:rPr>
          <w:sz w:val="26"/>
        </w:rPr>
      </w:r>
      <w:r/>
    </w:p>
    <w:p>
      <w:pPr>
        <w:pStyle w:val="924"/>
        <w:ind w:firstLine="0"/>
        <w:jc w:val="both"/>
        <w:spacing w:lineRule="auto" w:line="240"/>
        <w:rPr>
          <w:rFonts w:ascii="Times New Roman" w:hAnsi="Times New Roman" w:cs="Times New Roman"/>
          <w:sz w:val="26"/>
          <w:szCs w:val="28"/>
        </w:rPr>
      </w:pPr>
      <w:r>
        <w:rPr>
          <w:rFonts w:ascii="Times New Roman" w:hAnsi="Times New Roman" w:cs="Times New Roman"/>
          <w:sz w:val="26"/>
          <w:szCs w:val="28"/>
        </w:rPr>
        <w:tab/>
        <w:t xml:space="preserve">1) решение о проведении внепланового контрольного (надзорного) мероприятия;</w:t>
      </w:r>
      <w:r>
        <w:rPr>
          <w:sz w:val="26"/>
        </w:rPr>
      </w:r>
      <w:r/>
    </w:p>
    <w:p>
      <w:pPr>
        <w:pStyle w:val="924"/>
        <w:ind w:firstLine="0"/>
        <w:jc w:val="both"/>
        <w:spacing w:lineRule="auto" w:line="240"/>
        <w:rPr>
          <w:rFonts w:ascii="Times New Roman" w:hAnsi="Times New Roman" w:cs="Times New Roman"/>
          <w:sz w:val="26"/>
          <w:szCs w:val="28"/>
        </w:rPr>
      </w:pPr>
      <w:r>
        <w:rPr>
          <w:rFonts w:ascii="Times New Roman" w:hAnsi="Times New Roman" w:cs="Times New Roman"/>
          <w:sz w:val="26"/>
          <w:szCs w:val="28"/>
        </w:rPr>
        <w:tab/>
        <w:t xml:space="preserve">2) решение об объявлении предостережения;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«О государственно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3.35. Выездное обследование проводится в целях оценки соблюдения контролируемыми лицами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5.36. Выездное обследование может проводиться по месту нахождения </w:t>
      </w:r>
      <w:r>
        <w:rPr>
          <w:rFonts w:ascii="Times New Roman" w:hAnsi="Times New Roman" w:cs="Times New Roman"/>
          <w:sz w:val="26"/>
          <w:szCs w:val="28"/>
        </w:rPr>
        <w:t xml:space="preserve">(осуществления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5.37.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осмотр;</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инструментальное обследование (с применением видеозаписи).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5.38. Выездное обследование проводится без информирования контролируемого лица.</w:t>
      </w:r>
      <w:r>
        <w:rPr>
          <w:sz w:val="26"/>
        </w:rPr>
      </w:r>
      <w:r/>
    </w:p>
    <w:p>
      <w:pPr>
        <w:pStyle w:val="924"/>
        <w:ind w:firstLine="709"/>
        <w:jc w:val="both"/>
        <w:spacing w:lineRule="auto" w:line="240"/>
        <w:rPr>
          <w:b/>
          <w:color w:val="000000"/>
          <w:sz w:val="26"/>
        </w:rPr>
      </w:pPr>
      <w:r>
        <w:rPr>
          <w:rFonts w:ascii="Times New Roman" w:hAnsi="Times New Roman" w:cs="Times New Roman"/>
          <w:sz w:val="26"/>
          <w:szCs w:val="28"/>
        </w:rPr>
      </w:r>
      <w:r>
        <w:rPr>
          <w:sz w:val="26"/>
        </w:rPr>
      </w:r>
      <w:r/>
    </w:p>
    <w:p>
      <w:pPr>
        <w:pStyle w:val="924"/>
        <w:ind w:firstLine="709"/>
        <w:jc w:val="center"/>
        <w:spacing w:lineRule="auto" w:line="240"/>
        <w:rPr>
          <w:rFonts w:ascii="Times New Roman" w:hAnsi="Times New Roman" w:cs="Times New Roman"/>
          <w:b/>
          <w:color w:val="000000"/>
          <w:sz w:val="26"/>
          <w:szCs w:val="28"/>
        </w:rPr>
      </w:pPr>
      <w:r>
        <w:rPr>
          <w:rFonts w:ascii="Times New Roman" w:hAnsi="Times New Roman" w:cs="Times New Roman"/>
          <w:b/>
          <w:color w:val="000000"/>
          <w:sz w:val="26"/>
          <w:szCs w:val="28"/>
        </w:rPr>
        <w:t xml:space="preserve">Раздел 6. Результаты контрольного (надзорного) мероприятия</w:t>
      </w:r>
      <w:r>
        <w:rPr>
          <w:sz w:val="26"/>
        </w:rPr>
      </w:r>
      <w:r/>
    </w:p>
    <w:p>
      <w:pPr>
        <w:pStyle w:val="924"/>
        <w:ind w:firstLine="709"/>
        <w:jc w:val="center"/>
        <w:spacing w:lineRule="auto" w:line="240"/>
        <w:rPr>
          <w:b/>
          <w:color w:val="000000"/>
          <w:sz w:val="26"/>
        </w:rPr>
      </w:pPr>
      <w:r>
        <w:rPr>
          <w:rFonts w:ascii="Times New Roman" w:hAnsi="Times New Roman" w:cs="Times New Roman"/>
          <w:sz w:val="26"/>
          <w:szCs w:val="28"/>
        </w:rPr>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6.1. По окончании проведения контрольного (надзорного) мероприятия, предусматривающего взаимодействие с контролируемым лицом,</w:t>
      </w:r>
      <w:r>
        <w:rPr>
          <w:rFonts w:ascii="Times New Roman" w:hAnsi="Times New Roman" w:cs="Times New Roman"/>
          <w:sz w:val="26"/>
          <w:szCs w:val="28"/>
        </w:rPr>
        <w:t xml:space="preserve"> составляется акт контрольного (надзорного) мероприятия (далее также — акт).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выявления в ходе проведения контрольного (надзорного) мероприятия нарушения обязательных требований к использованию и охране земель, за которое законодательством Р</w:t>
      </w:r>
      <w:r>
        <w:rPr>
          <w:rFonts w:ascii="Times New Roman" w:hAnsi="Times New Roman" w:cs="Times New Roman"/>
          <w:sz w:val="26"/>
          <w:szCs w:val="28"/>
        </w:rPr>
        <w:t xml:space="preserve">оссийской Федерации предусмотрена административная и иная ответственность, в акте контрольного (надзорного) мероприятия указывается, какое именно обязательное требование нарушено, каким нормативным правовым актом и его структурной единицей оно установлено.</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6.2. </w:t>
      </w:r>
      <w:r>
        <w:rPr>
          <w:rFonts w:ascii="Times New Roman" w:hAnsi="Times New Roman" w:cs="Times New Roman"/>
          <w:sz w:val="26"/>
          <w:szCs w:val="28"/>
        </w:rPr>
        <w:t xml:space="preserve">Оформление акта производится на месте проведения контрольного (надзорного) мероприятия в день окончания проведения такого мероприятия.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6.3. </w:t>
      </w:r>
      <w:r>
        <w:rPr>
          <w:rFonts w:ascii="Times New Roman" w:hAnsi="Times New Roman" w:cs="Times New Roman"/>
          <w:sz w:val="26"/>
          <w:szCs w:val="28"/>
        </w:rPr>
        <w:t xml:space="preserve">Акт контрольного (надзорного) мероприятия, проведение которого было согласовано с прокуратурой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района, направляется в прокуратуру </w:t>
      </w:r>
      <w:r>
        <w:rPr>
          <w:rFonts w:ascii="Times New Roman" w:hAnsi="Times New Roman" w:cs="Times New Roman"/>
          <w:sz w:val="26"/>
          <w:szCs w:val="28"/>
        </w:rPr>
        <w:t xml:space="preserve">Новооскольского</w:t>
      </w:r>
      <w:r>
        <w:rPr>
          <w:rFonts w:ascii="Times New Roman" w:hAnsi="Times New Roman" w:cs="Times New Roman"/>
          <w:sz w:val="26"/>
          <w:szCs w:val="28"/>
        </w:rPr>
        <w:t xml:space="preserve"> района непосредственно после его оформления.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6.4</w:t>
      </w:r>
      <w:r>
        <w:rPr>
          <w:rFonts w:ascii="Times New Roman" w:hAnsi="Times New Roman" w:cs="Times New Roman"/>
          <w:sz w:val="26"/>
          <w:szCs w:val="28"/>
        </w:rPr>
        <w:t xml:space="preserve">4</w:t>
      </w:r>
      <w:r>
        <w:rPr>
          <w:rFonts w:ascii="Times New Roman" w:hAnsi="Times New Roman" w:cs="Times New Roman"/>
          <w:sz w:val="26"/>
          <w:szCs w:val="28"/>
        </w:rPr>
        <w:t xml:space="preserve"> </w:t>
      </w:r>
      <w:r>
        <w:rPr>
          <w:rFonts w:ascii="Times New Roman" w:hAnsi="Times New Roman" w:cs="Times New Roman"/>
          <w:sz w:val="26"/>
          <w:szCs w:val="28"/>
        </w:rPr>
        <w:t xml:space="preserve">Контролируемое лицо</w:t>
      </w:r>
      <w:r>
        <w:rPr>
          <w:rFonts w:ascii="Times New Roman" w:hAnsi="Times New Roman" w:cs="Times New Roman"/>
          <w:sz w:val="26"/>
          <w:szCs w:val="28"/>
        </w:rPr>
        <w:t xml:space="preserve">, представитель контролируемого лица подписывает акт. При отказе или невозможности подписания контролируемым лицом, представителем контролируемого лица акта по итогам проведения контрольного (надзорного) мероприятия в акте делается соответствующая отметка.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6.5. </w:t>
      </w:r>
      <w:r>
        <w:rPr>
          <w:rFonts w:ascii="Times New Roman" w:hAnsi="Times New Roman" w:cs="Times New Roman"/>
          <w:sz w:val="26"/>
          <w:szCs w:val="28"/>
        </w:rPr>
        <w:t xml:space="preserve">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предусмотренных абзацем вторым настоящей части.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или в иных случаях, установленных Федеральным зак</w:t>
      </w:r>
      <w:r>
        <w:rPr>
          <w:rFonts w:ascii="Times New Roman" w:hAnsi="Times New Roman" w:cs="Times New Roman"/>
          <w:sz w:val="26"/>
          <w:szCs w:val="28"/>
        </w:rPr>
        <w:t xml:space="preserve">оном «О государственном контроле (надзоре) и муниципальном контроле», контрольный (надзорный) орган направляет акт контролируемому лицу в порядке, установленном статьей 21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6.2 Положения контролируемое лицо не подписывает акт и считается получив</w:t>
      </w:r>
      <w:r>
        <w:rPr>
          <w:rFonts w:ascii="Times New Roman" w:hAnsi="Times New Roman" w:cs="Times New Roman"/>
          <w:sz w:val="26"/>
          <w:szCs w:val="28"/>
        </w:rPr>
        <w:t xml:space="preserve">шим акт в случае его размещ</w:t>
      </w:r>
      <w:r>
        <w:rPr>
          <w:rFonts w:ascii="Times New Roman" w:hAnsi="Times New Roman" w:cs="Times New Roman"/>
          <w:sz w:val="26"/>
          <w:szCs w:val="28"/>
        </w:rPr>
        <w:t xml:space="preserve">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6.6. В случае выявления при проведении контрольного (надзорного) мероприятия нарушений обязательных требований контролируемым лицом орган муниципального контроля, в пределах полномочий, предусмотренных законодательством Российской Федерации, обязан:</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выдать после оформления акта контрольного (надзорного) мероприятия контролируемому лицу в порядке, установленном статьей 90.1 Федерального закона «О госу</w:t>
      </w:r>
      <w:r>
        <w:rPr>
          <w:rFonts w:ascii="Times New Roman" w:hAnsi="Times New Roman" w:cs="Times New Roman"/>
          <w:sz w:val="26"/>
          <w:szCs w:val="28"/>
        </w:rPr>
        <w:t xml:space="preserve">дарственном контроле (надзоре) и муниципальном контроле», предписание об устранении выявленных нарушений обязательных требований с указанием разумных сроков их устранения в случаях, установленных пунктом 4 статьи 72 Земельного кодекса Российской Федерации;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w:t>
      </w:r>
      <w:r>
        <w:rPr>
          <w:rFonts w:ascii="Times New Roman" w:hAnsi="Times New Roman" w:cs="Times New Roman"/>
          <w:sz w:val="26"/>
          <w:szCs w:val="28"/>
        </w:rPr>
        <w:t xml:space="preserve">рекращению его причинения вплоть до обращении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w:t>
      </w:r>
      <w:r>
        <w:rPr>
          <w:rFonts w:ascii="Times New Roman" w:hAnsi="Times New Roman" w:cs="Times New Roman"/>
          <w:sz w:val="26"/>
          <w:szCs w:val="28"/>
        </w:rPr>
        <w:t xml:space="preserve">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w:t>
      </w:r>
      <w:r>
        <w:rPr>
          <w:rFonts w:ascii="Times New Roman" w:hAnsi="Times New Roman" w:cs="Times New Roman"/>
          <w:sz w:val="26"/>
          <w:szCs w:val="28"/>
        </w:rPr>
        <w:t xml:space="preserve">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w:t>
      </w:r>
      <w:r>
        <w:rPr>
          <w:rFonts w:ascii="Times New Roman" w:hAnsi="Times New Roman" w:cs="Times New Roman"/>
          <w:sz w:val="26"/>
          <w:szCs w:val="28"/>
        </w:rPr>
        <w:t xml:space="preserve">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при выявлении в ходе контрольного (надзорного) мероприятия признаков преступления или</w:t>
      </w:r>
      <w:r>
        <w:rPr>
          <w:rFonts w:ascii="Times New Roman" w:hAnsi="Times New Roman" w:cs="Times New Roman"/>
          <w:sz w:val="26"/>
          <w:szCs w:val="28"/>
        </w:rPr>
        <w:t xml:space="preserve">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принять меры по осуществлению контроля за устранением выявленных наруш</w:t>
      </w:r>
      <w:r>
        <w:rPr>
          <w:rFonts w:ascii="Times New Roman" w:hAnsi="Times New Roman" w:cs="Times New Roman"/>
          <w:sz w:val="26"/>
          <w:szCs w:val="28"/>
        </w:rPr>
        <w:t xml:space="preserve">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6.7. Предписание об устранении выявленных нарушений обязательных требований должно содержать сведения, предусмотренные частью 2 статьи 90.1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6.8. По истечении срока ис</w:t>
      </w:r>
      <w:r>
        <w:rPr>
          <w:rFonts w:ascii="Times New Roman" w:hAnsi="Times New Roman" w:cs="Times New Roman"/>
          <w:sz w:val="26"/>
          <w:szCs w:val="28"/>
        </w:rPr>
        <w:t xml:space="preserve">полнения контролируемым лицом предписания, либо при представлении контролируемым лицом до истечения указанного срока документов и сведений, представление которых установлено предписанием, либо в случае получения информации в рамках наблюдения за соблюдение</w:t>
      </w:r>
      <w:r>
        <w:rPr>
          <w:rFonts w:ascii="Times New Roman" w:hAnsi="Times New Roman" w:cs="Times New Roman"/>
          <w:sz w:val="26"/>
          <w:szCs w:val="28"/>
        </w:rPr>
        <w:t xml:space="preserve">м обязательных требований (мониторинга безопасности) орган муниципального контроля оценивает исполнение предписания на основании представленных документов и сведений, полученной информации. Если указанные документы и сведения контролируемым лицом не предст</w:t>
      </w:r>
      <w:r>
        <w:rPr>
          <w:rFonts w:ascii="Times New Roman" w:hAnsi="Times New Roman" w:cs="Times New Roman"/>
          <w:sz w:val="26"/>
          <w:szCs w:val="28"/>
        </w:rPr>
        <w:t xml:space="preserve">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предписания, орган муниципального контроля оценивает его испол</w:t>
      </w:r>
      <w:r>
        <w:rPr>
          <w:rFonts w:ascii="Times New Roman" w:hAnsi="Times New Roman" w:cs="Times New Roman"/>
          <w:sz w:val="26"/>
          <w:szCs w:val="28"/>
        </w:rPr>
        <w:t xml:space="preserve">нение путем проведения одного из контрольных (надзорных) мероприятий, предусмотренных частью 5.7 настоящего Положения. В случае, если проводится оценка исполнения предписания, принятого по итогам выездной проверки, допускается проведение выездной проверки.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6.9. В случае, если по итогам проведения контрольного (надзорного) мероприятия, предусмотренного частью 6.8 настоящего Положения, органом муниципального контроля будет установлено, что предписание не исполне</w:t>
      </w:r>
      <w:r>
        <w:rPr>
          <w:rFonts w:ascii="Times New Roman" w:hAnsi="Times New Roman" w:cs="Times New Roman"/>
          <w:sz w:val="26"/>
          <w:szCs w:val="28"/>
        </w:rPr>
        <w:t xml:space="preserve">но или исполнено ненадлежащим образом, он вновь выдает контролируемому лицу предписание, с указанием новых сроков его исполнения. При неисполнении предписания в установленные сроки орган муниципального контроля принимает меры по обеспечению его исполнения.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r>
      <w:r>
        <w:rPr>
          <w:sz w:val="26"/>
        </w:rPr>
      </w:r>
      <w:r/>
    </w:p>
    <w:p>
      <w:pPr>
        <w:pStyle w:val="924"/>
        <w:ind w:firstLine="709"/>
        <w:jc w:val="center"/>
        <w:spacing w:lineRule="auto" w:line="240"/>
        <w:rPr>
          <w:rFonts w:ascii="Times New Roman" w:hAnsi="Times New Roman" w:cs="Times New Roman"/>
          <w:b/>
          <w:bCs/>
          <w:sz w:val="26"/>
          <w:szCs w:val="28"/>
        </w:rPr>
      </w:pPr>
      <w:r>
        <w:rPr>
          <w:rFonts w:ascii="Times New Roman" w:hAnsi="Times New Roman" w:cs="Times New Roman"/>
          <w:b/>
          <w:bCs/>
          <w:sz w:val="26"/>
          <w:szCs w:val="28"/>
        </w:rPr>
        <w:t xml:space="preserve">Раздел 7. Порядок рассмотрения жалобы на решения органов контроля, действий (бездействия) должностных лиц</w:t>
      </w:r>
      <w:r>
        <w:rPr>
          <w:sz w:val="26"/>
        </w:rPr>
      </w:r>
      <w:r/>
    </w:p>
    <w:p>
      <w:pPr>
        <w:pStyle w:val="924"/>
        <w:ind w:firstLine="709"/>
        <w:jc w:val="center"/>
        <w:spacing w:lineRule="auto" w:line="240"/>
        <w:rPr>
          <w:rFonts w:ascii="Times New Roman" w:hAnsi="Times New Roman" w:cs="Times New Roman"/>
          <w:b/>
          <w:bCs/>
          <w:sz w:val="26"/>
          <w:szCs w:val="28"/>
        </w:rPr>
      </w:pPr>
      <w:r>
        <w:rPr>
          <w:rFonts w:ascii="Times New Roman" w:hAnsi="Times New Roman" w:cs="Times New Roman"/>
          <w:b/>
          <w:bCs/>
          <w:sz w:val="26"/>
          <w:szCs w:val="28"/>
        </w:rPr>
        <w:t xml:space="preserve"> </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решений о проведении контрольных (надзорных) мероприятий и обязательных профилактических визитов;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актов контрольных (надзорных) мероприятий и обязательных профилактических визитов, предписаний об устранении выявленных нарушений;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действий (бездействия) должностных лиц органа муниципального контроля в рамках контрольных (надзорных) мероприятий и обязательных профилактических визитов;</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решений об отнесении объектов контроля к соответствующей категории риска;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решений об отказе в проведении обязательных профилактических визитов по заявлениям контролируемых лиц;</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 иных решений, принимаемых ор</w:t>
      </w:r>
      <w:r>
        <w:rPr>
          <w:rFonts w:ascii="Times New Roman" w:hAnsi="Times New Roman" w:cs="Times New Roman"/>
          <w:sz w:val="26"/>
          <w:szCs w:val="28"/>
        </w:rPr>
        <w:t xml:space="preserve">ганом муниципального контроля по итогам профилактических и (или) контрольных (надзорных) мероприятий, предусмотренных Федеральным законом «О государственном контроле (надзоре) и муниципальном контроле», в отношении контролируемых лиц или объектов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7.2. Судебное обжалование решений контрол</w:t>
      </w:r>
      <w:r>
        <w:rPr>
          <w:rFonts w:ascii="Times New Roman" w:hAnsi="Times New Roman" w:cs="Times New Roman"/>
          <w:sz w:val="26"/>
          <w:szCs w:val="28"/>
        </w:rPr>
        <w:t xml:space="preserve">ьного органа, действий (бездействия) должностных лиц контрольного органа, возможно только после их досудебного обжалования, за исключением установленных частью 2 статьи 39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7.3. Жалоба на решение орган</w:t>
      </w:r>
      <w:r>
        <w:rPr>
          <w:rFonts w:ascii="Times New Roman" w:hAnsi="Times New Roman" w:cs="Times New Roman"/>
          <w:sz w:val="26"/>
          <w:szCs w:val="28"/>
        </w:rPr>
        <w:t xml:space="preserve">а муниципально</w:t>
      </w:r>
      <w:r>
        <w:rPr>
          <w:rFonts w:ascii="Times New Roman" w:hAnsi="Times New Roman" w:cs="Times New Roman"/>
          <w:sz w:val="26"/>
          <w:szCs w:val="28"/>
        </w:rPr>
        <w:t xml:space="preserve">го контроля, действия (бездействие) его должностных лиц рассматривается заместителем главы Администрации Новооскольского муниципального округа – начальником управления имущественных и земельных отношений Администрации Новооскольского муниципального округа.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Жалоба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7.4. Жалоба на решение органа муниципального контроля, действия (бездействие) его должностных лиц может быть подана в течение 30 (тридцати) календарных дней со дня, когда контролируемое лицо узнало или должно было узнать о нарушении своих прав.</w:t>
      </w:r>
      <w:r>
        <w:rPr>
          <w:sz w:val="26"/>
        </w:rPr>
      </w:r>
      <w:r/>
    </w:p>
    <w:p>
      <w:pPr>
        <w:pStyle w:val="924"/>
        <w:ind w:left="0" w:right="0" w:firstLine="0"/>
        <w:jc w:val="both"/>
        <w:spacing w:lineRule="auto" w:line="240" w:after="0" w:before="0"/>
        <w:rPr>
          <w:rFonts w:ascii="Times New Roman" w:hAnsi="Times New Roman" w:cs="Times New Roman"/>
          <w:sz w:val="26"/>
          <w:szCs w:val="28"/>
        </w:rPr>
      </w:pPr>
      <w:r>
        <w:rPr>
          <w:rFonts w:ascii="Times New Roman" w:hAnsi="Times New Roman" w:cs="Times New Roman"/>
          <w:sz w:val="26"/>
          <w:szCs w:val="28"/>
        </w:rPr>
        <w:tab/>
        <w:t xml:space="preserve">Жалоба на предписание органа муниципального контроля может быть подана в течение 10 (десяти) рабочих дней с момента получения контролируемым лицом предписания.</w:t>
      </w:r>
      <w:r>
        <w:rPr>
          <w:sz w:val="26"/>
        </w:rPr>
      </w:r>
      <w:r/>
    </w:p>
    <w:p>
      <w:pPr>
        <w:pStyle w:val="924"/>
        <w:ind w:firstLine="0"/>
        <w:jc w:val="both"/>
        <w:spacing w:lineRule="auto" w:line="240"/>
        <w:rPr>
          <w:rFonts w:ascii="Times New Roman" w:hAnsi="Times New Roman" w:cs="Times New Roman"/>
          <w:sz w:val="26"/>
          <w:szCs w:val="28"/>
        </w:rPr>
      </w:pPr>
      <w:r>
        <w:rPr>
          <w:rFonts w:ascii="Times New Roman" w:hAnsi="Times New Roman" w:cs="Times New Roman"/>
          <w:sz w:val="26"/>
          <w:szCs w:val="28"/>
        </w:rPr>
        <w:tab/>
        <w:t xml:space="preserve">7.5.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органом муниципального контроля.</w:t>
      </w:r>
      <w:r>
        <w:rPr>
          <w:sz w:val="26"/>
        </w:rPr>
      </w:r>
      <w:r/>
    </w:p>
    <w:p>
      <w:pPr>
        <w:pStyle w:val="924"/>
        <w:ind w:firstLine="0"/>
        <w:jc w:val="both"/>
        <w:spacing w:lineRule="auto" w:line="240"/>
        <w:rPr>
          <w:rFonts w:ascii="Times New Roman" w:hAnsi="Times New Roman" w:cs="Times New Roman"/>
          <w:sz w:val="26"/>
          <w:szCs w:val="28"/>
        </w:rPr>
      </w:pPr>
      <w:r>
        <w:rPr>
          <w:rFonts w:ascii="Times New Roman" w:hAnsi="Times New Roman" w:cs="Times New Roman"/>
          <w:sz w:val="26"/>
          <w:szCs w:val="28"/>
        </w:rPr>
        <w:tab/>
        <w:t xml:space="preserve">7.6. Жалобы, указанные в части 7.4 настоящего Положения, подаются контролируемым лицом орган муниципального контроля в электронном виде с использованием ед</w:t>
      </w:r>
      <w:r>
        <w:rPr>
          <w:rFonts w:ascii="Times New Roman" w:hAnsi="Times New Roman" w:cs="Times New Roman"/>
          <w:sz w:val="26"/>
          <w:szCs w:val="28"/>
        </w:rPr>
        <w:t xml:space="preserve">иного портала государственных и муниципальных услуг и (или) региональных порталов государственных и муниципальных услуг,                  за исключением жалоб, содержащих сведения и документы, составляющих государственную или иную охраняемую законом тайну.</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До 2030 года жалобы, указанные </w:t>
      </w:r>
      <w:r>
        <w:rPr>
          <w:rFonts w:ascii="Times New Roman" w:hAnsi="Times New Roman" w:cs="Times New Roman"/>
          <w:sz w:val="26"/>
          <w:szCs w:val="28"/>
        </w:rPr>
        <w:t xml:space="preserve">в части 7.4 настоящего Положения, подписывается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w:t>
      </w:r>
      <w:r>
        <w:rPr>
          <w:rFonts w:ascii="Times New Roman" w:hAnsi="Times New Roman" w:cs="Times New Roman"/>
          <w:sz w:val="26"/>
          <w:szCs w:val="28"/>
        </w:rPr>
        <w:t xml:space="preserve">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w:t>
      </w:r>
      <w:r>
        <w:rPr>
          <w:rFonts w:ascii="Times New Roman" w:hAnsi="Times New Roman" w:cs="Times New Roman"/>
          <w:sz w:val="26"/>
          <w:szCs w:val="28"/>
        </w:rPr>
        <w:t xml:space="preserve">том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единого портала государственных и муниципальных услуг или являющегося индивидуальным предпринимателем.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7.7.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7.8. Жалоба может содержать ходатайство о приостановлении исполнения обжалуемого решения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7.9. В случае поступления жалобы с ходатайством о приостановлении исполнения обжалуемого решения в срок не позднее 2 (двух) рабочих дней со дня регистрации жалобы принимается одно из следующих решений: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о приостановлении исполнения обжалуемого решения органа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об отказе в приостановлении исполнения обжалуемого решения органа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7.10. Информация о решении, указанном в части 7.9 настоящего Положения, направляется контролируемому лицу, подавшему жалобу, в течение одного рабочего дня с момента принятия решения.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7.11. Форма и содержание жалобы установлены статьей 41 Федерального закона «О государственном контроле (надзоре) и муниципальном контроле»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7.12. Орган муниципального контроля принимает решение об отказе в рассмотрении жалобы в течение 5 (пяти) рабочих дней с момента получения жалобы, если: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жалоба подана после истечения срока подачи жалобы, установленного частью 7.4 настоящего Положения, и не содержит ходатайства о его восстановлении;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в удовлетворении ходатайства о восстановлении пропущенного срока на подачу жалобы отказано;</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до принятия решения по жалобе от контролируемого лица, ее подавшего, поступило заявление об отзыве жалобы;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имеется решение суда по вопросам, поставленным в жалобе;</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5) ранее в уполномоченный орган была подана другая жалоба от того же контролируемого лица по тем же основаниям;</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6) жалоба содержит нецензурные либо оскорбительные выражения, угрозы жизни, здоровью и имуществу должностных лиц органа муниципального контроля, а также членов их семей;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8) жалоба подана в ненадлежащий уполномоченный орган;</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9) законодательством Российской Федерации предусмотрен только судебный порядок обжалования решений органа муниципального контроля.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7.13. Отказ в рассмотрении жалобы по осн</w:t>
      </w:r>
      <w:r>
        <w:rPr>
          <w:rFonts w:ascii="Times New Roman" w:hAnsi="Times New Roman" w:cs="Times New Roman"/>
          <w:sz w:val="26"/>
          <w:szCs w:val="28"/>
        </w:rPr>
        <w:t xml:space="preserve">ованиям, указанным в пунктах 3 - 8 части 7.12 настоящего Положения, не является результатом досудебного обжалования, и не может служить основанием для судебного обжалования решений органа муниципального контроля, действий (бездействия) его должностных лиц.</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7.14. В случае, если ответ по существу поставленного в жалобе вопроса не может быть дан без разглашения сведени</w:t>
      </w:r>
      <w:r>
        <w:rPr>
          <w:rFonts w:ascii="Times New Roman" w:hAnsi="Times New Roman" w:cs="Times New Roman"/>
          <w:sz w:val="26"/>
          <w:szCs w:val="28"/>
        </w:rPr>
        <w:t xml:space="preserve">й,составляющих государственную или иную охраняемую федеральным законом тайну, контролируемому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7.15. Жалоба подлежит рассмотрению в течение 15 (пятнадцати) рабочих дней со дня ее регистрации со дня ее регистрации в подсистеме досудебного обжалования.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Жалоба контролируемого лица на решение об отнесении объектов контроля к соответствующей категории риска рассматривается в срок не более 5 (пяти) рабочих дней.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7.16. Орган муниципального контроля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w:t>
      </w:r>
      <w:r>
        <w:rPr>
          <w:rFonts w:ascii="Times New Roman" w:hAnsi="Times New Roman" w:cs="Times New Roman"/>
          <w:sz w:val="26"/>
          <w:szCs w:val="28"/>
        </w:rPr>
        <w:t xml:space="preserve">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w:t>
      </w:r>
      <w:r>
        <w:rPr>
          <w:rFonts w:ascii="Times New Roman" w:hAnsi="Times New Roman" w:cs="Times New Roman"/>
          <w:sz w:val="26"/>
          <w:szCs w:val="28"/>
        </w:rPr>
        <w:t xml:space="preserve">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7.17.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w:t>
      </w:r>
      <w:r>
        <w:rPr>
          <w:rFonts w:ascii="Times New Roman" w:hAnsi="Times New Roman" w:cs="Times New Roman"/>
          <w:sz w:val="26"/>
          <w:szCs w:val="28"/>
        </w:rPr>
        <w:t xml:space="preserve">ганов местного самоуправления либо подведомственных им организаций. Однако,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7.18. Обязанность доказывания законности и обоснованности принятого решения и (или) совершенного действия (бездействия) возлагается на орган муниципального контроля, решение и (или) действие (бездействие) должностного лица которого обжалуются.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7.19. По итогам рассмотрения жалобы уполномоченный на рассмотрение жалобы орган муниципального контроля принимает одно из следующих решений: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1) оставляет жалобу без удовлетворения;</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2) отменяет решение органа муниципального контроля полностью или частично;</w:t>
      </w:r>
      <w:r>
        <w:rPr>
          <w:sz w:val="26"/>
        </w:rPr>
      </w:r>
      <w:r/>
    </w:p>
    <w:p>
      <w:pPr>
        <w:pStyle w:val="924"/>
        <w:numPr>
          <w:ilvl w:val="0"/>
          <w:numId w:val="0"/>
        </w:numPr>
        <w:ind w:left="0" w:firstLine="0"/>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3) отменяет решение органа муниципального контроля полностью и</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4) принимает новое решение; признает действия (бездействие) должностных лиц органа муниципального контроля незаконными и выносит решение по существу, в том числе об осуществлении при необходимости определенных действий.</w:t>
      </w:r>
      <w:r>
        <w:rPr>
          <w:sz w:val="26"/>
        </w:rPr>
      </w:r>
      <w:r/>
    </w:p>
    <w:p>
      <w:pPr>
        <w:pStyle w:val="924"/>
        <w:ind w:firstLine="709"/>
        <w:jc w:val="both"/>
        <w:spacing w:lineRule="auto" w:line="240"/>
        <w:rPr>
          <w:rFonts w:ascii="Times New Roman" w:hAnsi="Times New Roman" w:cs="Times New Roman"/>
          <w:sz w:val="26"/>
          <w:szCs w:val="28"/>
        </w:rPr>
      </w:pPr>
      <w:r>
        <w:rPr>
          <w:rFonts w:ascii="Times New Roman" w:hAnsi="Times New Roman" w:cs="Times New Roman"/>
          <w:sz w:val="26"/>
          <w:szCs w:val="28"/>
        </w:rPr>
        <w:t xml:space="preserve">7.20. Решение, принятое по результатам рассмотрения жалобы, содержащее обоснование принятого решения, срок и поря</w:t>
      </w:r>
      <w:r>
        <w:rPr>
          <w:rFonts w:ascii="Times New Roman" w:hAnsi="Times New Roman" w:cs="Times New Roman"/>
          <w:sz w:val="26"/>
          <w:szCs w:val="28"/>
        </w:rPr>
        <w:t xml:space="preserve">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1 (одного) рабочего дня со дня его принятия.</w:t>
      </w:r>
      <w:r>
        <w:rPr>
          <w:sz w:val="26"/>
        </w:rPr>
      </w:r>
      <w:r/>
    </w:p>
    <w:p>
      <w:pPr>
        <w:pStyle w:val="924"/>
        <w:ind w:firstLine="709"/>
        <w:jc w:val="both"/>
        <w:spacing w:lineRule="auto" w:line="240"/>
        <w:rPr>
          <w:sz w:val="26"/>
          <w:szCs w:val="28"/>
        </w:rPr>
      </w:pPr>
      <w:r>
        <w:rPr>
          <w:sz w:val="26"/>
          <w:szCs w:val="28"/>
        </w:rPr>
      </w:r>
      <w:r>
        <w:rPr>
          <w:sz w:val="26"/>
        </w:rPr>
      </w:r>
      <w:r/>
    </w:p>
    <w:p>
      <w:pPr>
        <w:pStyle w:val="928"/>
        <w:ind w:left="0" w:right="0" w:firstLine="709"/>
        <w:jc w:val="center"/>
        <w:spacing w:lineRule="auto" w:line="240"/>
        <w:rPr>
          <w:rFonts w:ascii="Times New Roman" w:hAnsi="Times New Roman" w:cs="Times New Roman" w:eastAsia="Times New Roman"/>
          <w:b/>
          <w:color w:val="000000"/>
          <w:sz w:val="26"/>
        </w:rPr>
      </w:pPr>
      <w:r>
        <w:rPr>
          <w:rFonts w:ascii="Times New Roman" w:hAnsi="Times New Roman" w:cs="Times New Roman" w:eastAsia="Times New Roman"/>
          <w:b/>
          <w:color w:val="000000"/>
          <w:sz w:val="26"/>
          <w:szCs w:val="28"/>
          <w:lang w:val="ru-RU"/>
        </w:rPr>
        <w:t xml:space="preserve">6. Ключевые и индикативные показатели оценки результативности и эффективности контрольной деятельности органа муниципального земельного контроля</w:t>
      </w:r>
      <w:r>
        <w:rPr>
          <w:sz w:val="26"/>
        </w:rPr>
      </w:r>
      <w:r/>
    </w:p>
    <w:p>
      <w:pPr>
        <w:pStyle w:val="928"/>
        <w:ind w:left="0" w:right="0" w:firstLine="709"/>
        <w:jc w:val="both"/>
        <w:spacing w:lineRule="auto" w:line="240"/>
        <w:rPr>
          <w:rFonts w:ascii="Times New Roman" w:hAnsi="Times New Roman" w:cs="Times New Roman" w:eastAsia="Times New Roman"/>
          <w:b w:val="false"/>
          <w:bCs w:val="false"/>
          <w:color w:val="000000"/>
          <w:sz w:val="26"/>
          <w:szCs w:val="28"/>
        </w:rPr>
      </w:pPr>
      <w:r>
        <w:rPr>
          <w:rFonts w:ascii="Times New Roman" w:hAnsi="Times New Roman" w:cs="Times New Roman" w:eastAsia="Times New Roman"/>
          <w:b w:val="false"/>
          <w:bCs w:val="false"/>
          <w:color w:val="000000"/>
          <w:sz w:val="26"/>
          <w:szCs w:val="28"/>
          <w:lang w:val="ru-RU"/>
        </w:rPr>
      </w:r>
      <w:r>
        <w:rPr>
          <w:sz w:val="26"/>
        </w:rPr>
      </w:r>
      <w:r/>
    </w:p>
    <w:p>
      <w:pPr>
        <w:pStyle w:val="928"/>
        <w:ind w:left="0" w:right="0" w:firstLine="709"/>
        <w:jc w:val="both"/>
        <w:spacing w:lineRule="auto" w:line="240"/>
        <w:rPr>
          <w:rFonts w:ascii="Times New Roman" w:hAnsi="Times New Roman" w:cs="Times New Roman" w:eastAsia="Times New Roman"/>
          <w:b w:val="false"/>
          <w:bCs w:val="false"/>
          <w:color w:val="000000"/>
          <w:sz w:val="26"/>
          <w:szCs w:val="28"/>
        </w:rPr>
      </w:pPr>
      <w:r>
        <w:rPr>
          <w:rFonts w:ascii="Times New Roman" w:hAnsi="Times New Roman" w:cs="Times New Roman" w:eastAsia="Times New Roman"/>
          <w:b w:val="false"/>
          <w:bCs w:val="false"/>
          <w:color w:val="000000"/>
          <w:sz w:val="26"/>
          <w:szCs w:val="28"/>
          <w:lang w:val="ru-RU"/>
        </w:rPr>
        <w:t xml:space="preserve">6.1. Ключевыми показателями оценки результативности и эффективности контрольной деятельности органа муниципального земельного контроля и их целевыми значениями являются:</w:t>
      </w:r>
      <w:r>
        <w:rPr>
          <w:sz w:val="26"/>
        </w:rPr>
      </w:r>
      <w:r/>
    </w:p>
    <w:tbl>
      <w:tblPr>
        <w:tblW w:w="10095" w:type="dxa"/>
        <w:tblInd w:w="-436" w:type="dxa"/>
        <w:tblLayout w:type="fixed"/>
        <w:tblCellMar>
          <w:left w:w="5" w:type="dxa"/>
          <w:top w:w="0" w:type="dxa"/>
          <w:right w:w="98" w:type="dxa"/>
          <w:bottom w:w="0" w:type="dxa"/>
        </w:tblCellMar>
        <w:tblLook w:val="04A0" w:firstRow="1" w:lastRow="0" w:firstColumn="1" w:lastColumn="0" w:noHBand="0" w:noVBand="1"/>
      </w:tblPr>
      <w:tblGrid>
        <w:gridCol w:w="964"/>
        <w:gridCol w:w="1415"/>
        <w:gridCol w:w="1017"/>
        <w:gridCol w:w="1155"/>
        <w:gridCol w:w="1116"/>
        <w:gridCol w:w="1019"/>
        <w:gridCol w:w="1134"/>
        <w:gridCol w:w="1191"/>
        <w:gridCol w:w="1084"/>
      </w:tblGrid>
      <w:tr>
        <w:trPr>
          <w:tblHeader/>
        </w:trPr>
        <w:tc>
          <w:tcPr>
            <w:tcBorders>
              <w:left w:val="single" w:color="000000" w:sz="4" w:space="0"/>
              <w:top w:val="single" w:color="000000" w:sz="4" w:space="0"/>
              <w:right w:val="single" w:color="000000" w:sz="4" w:space="0"/>
              <w:bottom w:val="single" w:color="000000" w:sz="4" w:space="0"/>
            </w:tcBorders>
            <w:tcW w:w="96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Номер (индекс) показа-</w:t>
            </w:r>
            <w:r/>
          </w:p>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теля</w:t>
            </w:r>
            <w:r/>
          </w:p>
        </w:tc>
        <w:tc>
          <w:tcPr>
            <w:tcBorders>
              <w:left w:val="single" w:color="000000" w:sz="4" w:space="0"/>
              <w:top w:val="single" w:color="000000" w:sz="4" w:space="0"/>
              <w:right w:val="single" w:color="000000" w:sz="4" w:space="0"/>
              <w:bottom w:val="single" w:color="000000" w:sz="4" w:space="0"/>
            </w:tcBorders>
            <w:tcW w:w="1415"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Наименование показателя</w:t>
            </w:r>
            <w:r/>
          </w:p>
        </w:tc>
        <w:tc>
          <w:tcPr>
            <w:tcBorders>
              <w:left w:val="single" w:color="000000" w:sz="4" w:space="0"/>
              <w:top w:val="single" w:color="000000" w:sz="4" w:space="0"/>
              <w:right w:val="single" w:color="000000" w:sz="4" w:space="0"/>
              <w:bottom w:val="single" w:color="000000" w:sz="4" w:space="0"/>
            </w:tcBorders>
            <w:tcW w:w="1017"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Формула расчета</w:t>
            </w:r>
            <w:r/>
          </w:p>
        </w:tc>
        <w:tc>
          <w:tcPr>
            <w:tcBorders>
              <w:left w:val="single" w:color="000000" w:sz="4" w:space="0"/>
              <w:top w:val="single" w:color="000000" w:sz="4" w:space="0"/>
              <w:right w:val="single" w:color="000000" w:sz="4" w:space="0"/>
              <w:bottom w:val="single" w:color="000000" w:sz="4" w:space="0"/>
            </w:tcBorders>
            <w:tcW w:w="1155"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Комментарии (интерпретация значений)</w:t>
            </w:r>
            <w:r/>
          </w:p>
        </w:tc>
        <w:tc>
          <w:tcPr>
            <w:tcBorders>
              <w:left w:val="single" w:color="000000" w:sz="4" w:space="0"/>
              <w:top w:val="single" w:color="000000" w:sz="4" w:space="0"/>
              <w:right w:val="single" w:color="000000" w:sz="4" w:space="0"/>
              <w:bottom w:val="single" w:color="000000" w:sz="4" w:space="0"/>
            </w:tcBorders>
            <w:tcW w:w="1116"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Значение показателя</w:t>
            </w:r>
            <w:r/>
          </w:p>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(текущее/</w:t>
            </w:r>
            <w:r/>
          </w:p>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базовое)</w:t>
            </w:r>
            <w:r/>
          </w:p>
          <w:p>
            <w:pPr>
              <w:pStyle w:val="798"/>
              <w:jc w:val="center"/>
              <w:widowControl w:val="off"/>
              <w:rPr>
                <w:rFonts w:ascii="Times New Roman" w:hAnsi="Times New Roman" w:cs="Times New Roman"/>
                <w:color w:val="FF0000"/>
              </w:rPr>
            </w:pPr>
            <w:r>
              <w:rPr>
                <w:rFonts w:ascii="Times New Roman" w:hAnsi="Times New Roman" w:cs="Times New Roman"/>
                <w:color w:val="FF0000"/>
              </w:rPr>
            </w:r>
            <w:r/>
          </w:p>
        </w:tc>
        <w:tc>
          <w:tcPr>
            <w:tcBorders>
              <w:left w:val="single" w:color="000000" w:sz="4" w:space="0"/>
              <w:top w:val="single" w:color="000000" w:sz="4" w:space="0"/>
              <w:right w:val="single" w:color="000000" w:sz="4" w:space="0"/>
              <w:bottom w:val="single" w:color="000000" w:sz="4" w:space="0"/>
            </w:tcBorders>
            <w:tcW w:w="1019"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Международ-</w:t>
            </w:r>
            <w:r/>
          </w:p>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ные сопоставления показателей</w:t>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Целевые значения показате-лей</w:t>
            </w:r>
            <w:r/>
          </w:p>
          <w:p>
            <w:pPr>
              <w:pStyle w:val="798"/>
              <w:jc w:val="center"/>
              <w:widowControl w:val="off"/>
              <w:rPr>
                <w:rFonts w:ascii="Times New Roman" w:hAnsi="Times New Roman" w:cs="Times New Roman"/>
                <w:color w:val="FF0000"/>
              </w:rPr>
            </w:pPr>
            <w:r>
              <w:rPr>
                <w:rFonts w:ascii="Times New Roman" w:hAnsi="Times New Roman" w:cs="Times New Roman"/>
                <w:color w:val="FF0000"/>
              </w:rPr>
            </w:r>
            <w:r/>
          </w:p>
        </w:tc>
        <w:tc>
          <w:tcPr>
            <w:tcBorders>
              <w:left w:val="single" w:color="000000" w:sz="4" w:space="0"/>
              <w:top w:val="single" w:color="000000" w:sz="4" w:space="0"/>
              <w:right w:val="single" w:color="000000" w:sz="4" w:space="0"/>
              <w:bottom w:val="single" w:color="000000" w:sz="4" w:space="0"/>
            </w:tcBorders>
            <w:tcW w:w="1191"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Источник данных для определения значения</w:t>
            </w:r>
            <w:r/>
          </w:p>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показателя</w:t>
            </w:r>
            <w:r/>
          </w:p>
        </w:tc>
        <w:tc>
          <w:tcPr>
            <w:tcBorders>
              <w:left w:val="single" w:color="000000" w:sz="4" w:space="0"/>
              <w:top w:val="single" w:color="000000" w:sz="4" w:space="0"/>
              <w:right w:val="single" w:color="000000" w:sz="4" w:space="0"/>
              <w:bottom w:val="single" w:color="000000" w:sz="4" w:space="0"/>
            </w:tcBorders>
            <w:tcW w:w="108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Сведения о документах стратеги-ческого планиро-вания, содержащих показатель</w:t>
            </w:r>
            <w:r/>
          </w:p>
        </w:tc>
      </w:tr>
      <w:tr>
        <w:trPr>
          <w:tblHeader/>
        </w:trPr>
        <w:tc>
          <w:tcPr>
            <w:tcBorders>
              <w:left w:val="single" w:color="000000" w:sz="4" w:space="0"/>
              <w:top w:val="single" w:color="000000" w:sz="4" w:space="0"/>
              <w:right w:val="single" w:color="000000" w:sz="4" w:space="0"/>
              <w:bottom w:val="single" w:color="000000" w:sz="4" w:space="0"/>
            </w:tcBorders>
            <w:tcW w:w="96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1</w:t>
            </w:r>
            <w:r/>
          </w:p>
        </w:tc>
        <w:tc>
          <w:tcPr>
            <w:tcBorders>
              <w:left w:val="single" w:color="000000" w:sz="4" w:space="0"/>
              <w:top w:val="single" w:color="000000" w:sz="4" w:space="0"/>
              <w:right w:val="single" w:color="000000" w:sz="4" w:space="0"/>
              <w:bottom w:val="single" w:color="000000" w:sz="4" w:space="0"/>
            </w:tcBorders>
            <w:tcW w:w="1415"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2</w:t>
            </w:r>
            <w:r/>
          </w:p>
        </w:tc>
        <w:tc>
          <w:tcPr>
            <w:tcBorders>
              <w:left w:val="single" w:color="000000" w:sz="4" w:space="0"/>
              <w:top w:val="single" w:color="000000" w:sz="4" w:space="0"/>
              <w:right w:val="single" w:color="000000" w:sz="4" w:space="0"/>
              <w:bottom w:val="single" w:color="000000" w:sz="4" w:space="0"/>
            </w:tcBorders>
            <w:tcW w:w="1017"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3</w:t>
            </w:r>
            <w:r/>
          </w:p>
        </w:tc>
        <w:tc>
          <w:tcPr>
            <w:tcBorders>
              <w:left w:val="single" w:color="000000" w:sz="4" w:space="0"/>
              <w:top w:val="single" w:color="000000" w:sz="4" w:space="0"/>
              <w:right w:val="single" w:color="000000" w:sz="4" w:space="0"/>
              <w:bottom w:val="single" w:color="000000" w:sz="4" w:space="0"/>
            </w:tcBorders>
            <w:tcW w:w="1155"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4</w:t>
            </w:r>
            <w:r/>
          </w:p>
        </w:tc>
        <w:tc>
          <w:tcPr>
            <w:tcBorders>
              <w:left w:val="single" w:color="000000" w:sz="4" w:space="0"/>
              <w:top w:val="single" w:color="000000" w:sz="4" w:space="0"/>
              <w:right w:val="single" w:color="000000" w:sz="4" w:space="0"/>
              <w:bottom w:val="single" w:color="000000" w:sz="4" w:space="0"/>
            </w:tcBorders>
            <w:tcW w:w="1116"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5</w:t>
            </w:r>
            <w:r/>
          </w:p>
        </w:tc>
        <w:tc>
          <w:tcPr>
            <w:tcBorders>
              <w:left w:val="single" w:color="000000" w:sz="4" w:space="0"/>
              <w:top w:val="single" w:color="000000" w:sz="4" w:space="0"/>
              <w:right w:val="single" w:color="000000" w:sz="4" w:space="0"/>
              <w:bottom w:val="single" w:color="000000" w:sz="4" w:space="0"/>
            </w:tcBorders>
            <w:tcW w:w="1019"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6</w:t>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7</w:t>
            </w:r>
            <w:r/>
          </w:p>
        </w:tc>
        <w:tc>
          <w:tcPr>
            <w:tcBorders>
              <w:left w:val="single" w:color="000000" w:sz="4" w:space="0"/>
              <w:top w:val="single" w:color="000000" w:sz="4" w:space="0"/>
              <w:right w:val="single" w:color="000000" w:sz="4" w:space="0"/>
              <w:bottom w:val="single" w:color="000000" w:sz="4" w:space="0"/>
            </w:tcBorders>
            <w:tcW w:w="1191"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8</w:t>
            </w:r>
            <w:r/>
          </w:p>
        </w:tc>
        <w:tc>
          <w:tcPr>
            <w:tcBorders>
              <w:left w:val="single" w:color="000000" w:sz="4" w:space="0"/>
              <w:top w:val="single" w:color="000000" w:sz="4" w:space="0"/>
              <w:right w:val="single" w:color="000000" w:sz="4" w:space="0"/>
              <w:bottom w:val="single" w:color="000000" w:sz="4" w:space="0"/>
            </w:tcBorders>
            <w:tcW w:w="1084"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9</w:t>
            </w:r>
            <w:r/>
          </w:p>
        </w:tc>
      </w:tr>
      <w:tr>
        <w:trPr>
          <w:trHeight w:val="508"/>
        </w:trPr>
        <w:tc>
          <w:tcPr>
            <w:gridSpan w:val="9"/>
            <w:tcBorders>
              <w:left w:val="single" w:color="000000" w:sz="4" w:space="0"/>
              <w:top w:val="single" w:color="000000" w:sz="4" w:space="0"/>
              <w:right w:val="single" w:color="000000" w:sz="4" w:space="0"/>
              <w:bottom w:val="single" w:color="000000" w:sz="4" w:space="0"/>
            </w:tcBorders>
            <w:tcW w:w="10095" w:type="dxa"/>
            <w:textDirection w:val="lrTb"/>
            <w:noWrap w:val="false"/>
          </w:tcPr>
          <w:p>
            <w:pPr>
              <w:pStyle w:val="798"/>
              <w:jc w:val="center"/>
              <w:widowControl w:val="off"/>
              <w:rPr>
                <w:rFonts w:ascii="Times New Roman" w:hAnsi="Times New Roman" w:cs="Times New Roman"/>
                <w:b/>
                <w:sz w:val="20"/>
                <w:szCs w:val="20"/>
              </w:rPr>
            </w:pPr>
            <w:r>
              <w:rPr>
                <w:rFonts w:ascii="Times New Roman" w:hAnsi="Times New Roman" w:cs="Times New Roman"/>
                <w:b/>
                <w:sz w:val="20"/>
                <w:szCs w:val="20"/>
              </w:rPr>
              <w:t xml:space="preserve">Наименование вида контрольной деятельности:</w:t>
            </w:r>
            <w:r/>
          </w:p>
          <w:p>
            <w:pPr>
              <w:pStyle w:val="798"/>
              <w:jc w:val="center"/>
              <w:widowControl w:val="off"/>
              <w:rPr>
                <w:rFonts w:ascii="Times New Roman" w:hAnsi="Times New Roman" w:cs="Times New Roman"/>
                <w:sz w:val="20"/>
                <w:szCs w:val="20"/>
              </w:rPr>
            </w:pPr>
            <w:r>
              <w:rPr>
                <w:rFonts w:ascii="Times New Roman" w:hAnsi="Times New Roman" w:cs="Times New Roman"/>
                <w:sz w:val="20"/>
                <w:szCs w:val="20"/>
              </w:rPr>
              <w:t xml:space="preserve">Муниципальный земельный контроль</w:t>
            </w:r>
            <w:r/>
          </w:p>
          <w:p>
            <w:pPr>
              <w:pStyle w:val="798"/>
              <w:jc w:val="center"/>
              <w:widowControl w:val="off"/>
              <w:rPr>
                <w:rFonts w:ascii="Times New Roman" w:hAnsi="Times New Roman" w:cs="Times New Roman"/>
                <w:sz w:val="20"/>
                <w:szCs w:val="20"/>
              </w:rPr>
            </w:pPr>
            <w:r>
              <w:rPr>
                <w:rFonts w:ascii="Times New Roman" w:hAnsi="Times New Roman" w:cs="Times New Roman"/>
                <w:sz w:val="20"/>
                <w:szCs w:val="20"/>
              </w:rPr>
            </w:r>
            <w:r/>
          </w:p>
        </w:tc>
      </w:tr>
      <w:tr>
        <w:trPr>
          <w:trHeight w:val="508"/>
        </w:trPr>
        <w:tc>
          <w:tcPr>
            <w:tcBorders>
              <w:left w:val="single" w:color="000000" w:sz="4" w:space="0"/>
              <w:top w:val="single" w:color="000000" w:sz="4" w:space="0"/>
              <w:right w:val="single" w:color="000000" w:sz="4" w:space="0"/>
              <w:bottom w:val="single" w:color="000000" w:sz="4" w:space="0"/>
            </w:tcBorders>
            <w:tcW w:w="964" w:type="dxa"/>
            <w:textDirection w:val="lrTb"/>
            <w:noWrap w:val="false"/>
          </w:tcPr>
          <w:p>
            <w:pPr>
              <w:pStyle w:val="798"/>
              <w:jc w:val="center"/>
              <w:widowControl w:val="off"/>
              <w:rPr>
                <w:rFonts w:ascii="Times New Roman" w:hAnsi="Times New Roman" w:cs="Times New Roman"/>
                <w:sz w:val="20"/>
                <w:szCs w:val="20"/>
              </w:rPr>
            </w:pPr>
            <w:r>
              <w:rPr>
                <w:rFonts w:ascii="Times New Roman" w:hAnsi="Times New Roman" w:cs="Times New Roman"/>
                <w:sz w:val="20"/>
                <w:szCs w:val="20"/>
              </w:rPr>
              <w:t xml:space="preserve">А.2</w:t>
            </w:r>
            <w:r/>
          </w:p>
        </w:tc>
        <w:tc>
          <w:tcPr>
            <w:tcBorders>
              <w:left w:val="single" w:color="000000" w:sz="4" w:space="0"/>
              <w:top w:val="single" w:color="000000" w:sz="4" w:space="0"/>
              <w:right w:val="single" w:color="000000" w:sz="4" w:space="0"/>
              <w:bottom w:val="single" w:color="000000" w:sz="4" w:space="0"/>
            </w:tcBorders>
            <w:tcW w:w="1415" w:type="dxa"/>
            <w:textDirection w:val="lrTb"/>
            <w:noWrap w:val="false"/>
          </w:tcPr>
          <w:p>
            <w:pPr>
              <w:pStyle w:val="798"/>
              <w:ind w:left="142" w:right="0" w:hanging="142"/>
              <w:jc w:val="left"/>
              <w:widowControl w:val="off"/>
              <w:rPr>
                <w:rFonts w:ascii="Times New Roman" w:hAnsi="Times New Roman" w:cs="Times New Roman"/>
                <w:sz w:val="20"/>
                <w:szCs w:val="20"/>
              </w:rPr>
            </w:pPr>
            <w:r>
              <w:rPr>
                <w:rFonts w:ascii="Times New Roman" w:hAnsi="Times New Roman" w:cs="Times New Roman"/>
                <w:sz w:val="20"/>
                <w:szCs w:val="20"/>
              </w:rPr>
              <w:t xml:space="preserve">Доля площади земельных участков с признаками негативных проц</w:t>
            </w:r>
            <w:r>
              <w:rPr>
                <w:rFonts w:ascii="Times New Roman" w:hAnsi="Times New Roman" w:cs="Times New Roman"/>
                <w:sz w:val="20"/>
                <w:szCs w:val="20"/>
              </w:rPr>
              <w:t xml:space="preserve">ессов (водная и ветровая эрозии,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 100%</w:t>
            </w:r>
            <w:r/>
          </w:p>
        </w:tc>
        <w:tc>
          <w:tcPr>
            <w:tcBorders>
              <w:left w:val="single" w:color="000000" w:sz="4" w:space="0"/>
              <w:top w:val="single" w:color="000000" w:sz="4" w:space="0"/>
              <w:right w:val="single" w:color="000000" w:sz="4" w:space="0"/>
              <w:bottom w:val="single" w:color="000000" w:sz="4" w:space="0"/>
            </w:tcBorders>
            <w:tcW w:w="1017" w:type="dxa"/>
            <w:textDirection w:val="lrTb"/>
            <w:noWrap w:val="false"/>
          </w:tcPr>
          <w:p>
            <w:pPr>
              <w:pStyle w:val="798"/>
              <w:ind w:left="0" w:right="-220" w:firstLine="0"/>
              <w:jc w:val="center"/>
              <w:widowControl w:val="off"/>
            </w:pPr>
            <w:r>
              <w:rPr>
                <w:rFonts w:ascii="Times New Roman" w:hAnsi="Times New Roman" w:cs="Times New Roman"/>
                <w:sz w:val="20"/>
                <w:szCs w:val="20"/>
                <w:lang w:val="en-US"/>
              </w:rPr>
              <w:t xml:space="preserve">S</w:t>
            </w:r>
            <w:r>
              <w:rPr>
                <w:rFonts w:ascii="Times New Roman" w:hAnsi="Times New Roman" w:cs="Times New Roman"/>
                <w:sz w:val="20"/>
                <w:szCs w:val="20"/>
              </w:rPr>
              <w:t xml:space="preserve">пнп =</w:t>
            </w:r>
            <w:r/>
          </w:p>
          <w:p>
            <w:pPr>
              <w:pStyle w:val="798"/>
              <w:ind w:left="0" w:right="-220" w:firstLine="0"/>
              <w:jc w:val="center"/>
              <w:widowControl w:val="off"/>
              <w:rPr>
                <w:rFonts w:ascii="Times New Roman" w:hAnsi="Times New Roman" w:cs="Times New Roman"/>
                <w:sz w:val="20"/>
                <w:szCs w:val="20"/>
              </w:rPr>
            </w:pPr>
            <w:r>
              <w:rPr>
                <w:rFonts w:ascii="Times New Roman" w:hAnsi="Times New Roman" w:cs="Times New Roman"/>
                <w:sz w:val="20"/>
                <w:szCs w:val="20"/>
              </w:rPr>
              <w:t xml:space="preserve">А/В х 100%</w:t>
            </w:r>
            <w:r/>
          </w:p>
        </w:tc>
        <w:tc>
          <w:tcPr>
            <w:tcBorders>
              <w:left w:val="single" w:color="000000" w:sz="4" w:space="0"/>
              <w:top w:val="single" w:color="000000" w:sz="4" w:space="0"/>
              <w:right w:val="single" w:color="000000" w:sz="4" w:space="0"/>
              <w:bottom w:val="single" w:color="000000" w:sz="4" w:space="0"/>
            </w:tcBorders>
            <w:tcW w:w="1155" w:type="dxa"/>
            <w:textDirection w:val="lrTb"/>
            <w:noWrap w:val="false"/>
          </w:tcPr>
          <w:p>
            <w:pPr>
              <w:pStyle w:val="798"/>
              <w:ind w:left="0" w:right="-220" w:firstLine="0"/>
              <w:jc w:val="left"/>
              <w:widowControl w:val="off"/>
            </w:pPr>
            <w:r>
              <w:rPr>
                <w:rFonts w:ascii="Times New Roman" w:hAnsi="Times New Roman" w:cs="Times New Roman"/>
                <w:sz w:val="20"/>
                <w:szCs w:val="20"/>
                <w:lang w:val="en-US"/>
              </w:rPr>
              <w:t xml:space="preserve">S</w:t>
            </w:r>
            <w:r>
              <w:rPr>
                <w:rFonts w:ascii="Times New Roman" w:hAnsi="Times New Roman" w:cs="Times New Roman"/>
                <w:sz w:val="20"/>
                <w:szCs w:val="20"/>
              </w:rPr>
              <w:t xml:space="preserve">пнп – площадь земельных участков с устраненными признаками негативных процессов; А - площадь земельных участков, где признаки негативных процессов устранены;</w:t>
            </w:r>
            <w:r/>
          </w:p>
          <w:p>
            <w:pPr>
              <w:pStyle w:val="798"/>
              <w:ind w:left="0" w:right="-220" w:firstLine="0"/>
              <w:jc w:val="left"/>
              <w:widowControl w:val="off"/>
              <w:rPr>
                <w:rFonts w:ascii="Times New Roman" w:hAnsi="Times New Roman" w:cs="Times New Roman"/>
                <w:sz w:val="20"/>
                <w:szCs w:val="20"/>
              </w:rPr>
            </w:pPr>
            <w:r>
              <w:rPr>
                <w:rFonts w:ascii="Times New Roman" w:hAnsi="Times New Roman" w:cs="Times New Roman"/>
                <w:sz w:val="20"/>
                <w:szCs w:val="20"/>
              </w:rPr>
              <w:t xml:space="preserve">В - площадь земельных участков с признаками негативных процессов</w:t>
            </w:r>
            <w:r/>
          </w:p>
        </w:tc>
        <w:tc>
          <w:tcPr>
            <w:tcBorders>
              <w:left w:val="single" w:color="000000" w:sz="4" w:space="0"/>
              <w:top w:val="single" w:color="000000" w:sz="4" w:space="0"/>
              <w:right w:val="single" w:color="000000" w:sz="4" w:space="0"/>
              <w:bottom w:val="single" w:color="000000" w:sz="4" w:space="0"/>
            </w:tcBorders>
            <w:tcW w:w="1116" w:type="dxa"/>
            <w:textDirection w:val="lrTb"/>
            <w:noWrap w:val="false"/>
          </w:tcPr>
          <w:p>
            <w:pPr>
              <w:pStyle w:val="798"/>
              <w:jc w:val="center"/>
              <w:widowControl w:val="off"/>
              <w:rPr>
                <w:rFonts w:ascii="Times New Roman" w:hAnsi="Times New Roman" w:cs="Times New Roman"/>
                <w:sz w:val="20"/>
                <w:szCs w:val="20"/>
              </w:rPr>
            </w:pPr>
            <w:r>
              <w:rPr>
                <w:rFonts w:ascii="Times New Roman" w:hAnsi="Times New Roman" w:cs="Times New Roman"/>
                <w:color w:val="000000"/>
                <w:sz w:val="20"/>
                <w:szCs w:val="20"/>
              </w:rPr>
              <w:t xml:space="preserve">55%</w:t>
            </w:r>
            <w:r/>
          </w:p>
        </w:tc>
        <w:tc>
          <w:tcPr>
            <w:tcBorders>
              <w:left w:val="single" w:color="000000" w:sz="4" w:space="0"/>
              <w:top w:val="single" w:color="000000" w:sz="4" w:space="0"/>
              <w:right w:val="single" w:color="000000" w:sz="4" w:space="0"/>
              <w:bottom w:val="single" w:color="000000" w:sz="4" w:space="0"/>
            </w:tcBorders>
            <w:tcW w:w="1019" w:type="dxa"/>
            <w:textDirection w:val="lrTb"/>
            <w:noWrap w:val="false"/>
          </w:tcPr>
          <w:p>
            <w:pPr>
              <w:pStyle w:val="798"/>
              <w:jc w:val="center"/>
              <w:widowControl w:val="off"/>
              <w:rPr>
                <w:rFonts w:ascii="Times New Roman" w:hAnsi="Times New Roman" w:cs="Times New Roman"/>
                <w:sz w:val="20"/>
                <w:szCs w:val="20"/>
              </w:rPr>
            </w:pPr>
            <w:r>
              <w:rPr>
                <w:rFonts w:ascii="Times New Roman" w:hAnsi="Times New Roman" w:cs="Times New Roman"/>
                <w:color w:val="000000"/>
                <w:sz w:val="20"/>
                <w:szCs w:val="20"/>
              </w:rPr>
              <w:t xml:space="preserve">-</w:t>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pStyle w:val="798"/>
              <w:jc w:val="center"/>
              <w:widowControl w:val="off"/>
              <w:rPr>
                <w:rFonts w:ascii="Times New Roman" w:hAnsi="Times New Roman" w:cs="Times New Roman"/>
                <w:sz w:val="20"/>
                <w:szCs w:val="20"/>
              </w:rPr>
            </w:pPr>
            <w:r>
              <w:rPr>
                <w:rFonts w:ascii="Times New Roman" w:hAnsi="Times New Roman" w:cs="Times New Roman"/>
                <w:color w:val="000000"/>
                <w:sz w:val="20"/>
                <w:szCs w:val="20"/>
              </w:rPr>
              <w:t xml:space="preserve">65%</w:t>
            </w:r>
            <w:r/>
          </w:p>
        </w:tc>
        <w:tc>
          <w:tcPr>
            <w:tcBorders>
              <w:left w:val="single" w:color="000000" w:sz="4" w:space="0"/>
              <w:top w:val="single" w:color="000000" w:sz="4" w:space="0"/>
              <w:right w:val="single" w:color="000000" w:sz="4" w:space="0"/>
              <w:bottom w:val="single" w:color="000000" w:sz="4" w:space="0"/>
            </w:tcBorders>
            <w:tcW w:w="1191" w:type="dxa"/>
            <w:textDirection w:val="lrTb"/>
            <w:noWrap w:val="false"/>
          </w:tcPr>
          <w:p>
            <w:pPr>
              <w:pStyle w:val="798"/>
              <w:jc w:val="center"/>
              <w:widowControl w:val="off"/>
              <w:rPr>
                <w:rFonts w:ascii="Times New Roman" w:hAnsi="Times New Roman" w:cs="Times New Roman" w:eastAsia="Calibri"/>
                <w:color w:val="000000"/>
                <w:sz w:val="20"/>
                <w:szCs w:val="20"/>
                <w:lang w:eastAsia="ru-RU"/>
              </w:rPr>
            </w:pPr>
            <w:r>
              <w:rPr>
                <w:rFonts w:ascii="Times New Roman" w:hAnsi="Times New Roman" w:cs="Times New Roman" w:eastAsia="Calibri"/>
                <w:color w:val="000000"/>
                <w:sz w:val="20"/>
                <w:szCs w:val="20"/>
                <w:lang w:eastAsia="ru-RU"/>
              </w:rPr>
              <w:t xml:space="preserve">Управление имущественных и земельных отношений администрации Новооскольского муниципального округа</w:t>
            </w:r>
            <w:r/>
          </w:p>
        </w:tc>
        <w:tc>
          <w:tcPr>
            <w:tcBorders>
              <w:left w:val="single" w:color="000000" w:sz="4" w:space="0"/>
              <w:top w:val="single" w:color="000000" w:sz="4" w:space="0"/>
              <w:right w:val="single" w:color="000000" w:sz="4" w:space="0"/>
              <w:bottom w:val="single" w:color="000000" w:sz="4" w:space="0"/>
            </w:tcBorders>
            <w:tcW w:w="1084" w:type="dxa"/>
            <w:textDirection w:val="lrTb"/>
            <w:noWrap w:val="false"/>
          </w:tcPr>
          <w:p>
            <w:pPr>
              <w:pStyle w:val="798"/>
              <w:jc w:val="center"/>
              <w:widowControl w:val="off"/>
              <w:rPr>
                <w:rFonts w:ascii="Times New Roman" w:hAnsi="Times New Roman" w:cs="Times New Roman"/>
                <w:sz w:val="20"/>
                <w:szCs w:val="20"/>
              </w:rPr>
            </w:pPr>
            <w:r>
              <w:rPr>
                <w:rFonts w:ascii="Times New Roman" w:hAnsi="Times New Roman" w:cs="Times New Roman"/>
                <w:sz w:val="20"/>
                <w:szCs w:val="20"/>
              </w:rPr>
              <w:t xml:space="preserve">-</w:t>
            </w:r>
            <w:r/>
          </w:p>
        </w:tc>
      </w:tr>
    </w:tbl>
    <w:p>
      <w:pPr>
        <w:pStyle w:val="798"/>
        <w:ind w:left="0" w:right="0" w:firstLine="0"/>
        <w:jc w:val="left"/>
        <w:rPr>
          <w:rFonts w:ascii="Times New Roman" w:hAnsi="Times New Roman" w:cs="Times New Roman" w:eastAsia="Times New Roman"/>
          <w:b w:val="false"/>
          <w:bCs w:val="false"/>
          <w:color w:val="000000"/>
          <w:sz w:val="27"/>
          <w:szCs w:val="27"/>
          <w:lang w:val="ru-RU"/>
        </w:rPr>
      </w:pPr>
      <w:r>
        <w:rPr>
          <w:rFonts w:cs="Times New Roman" w:eastAsia="Times New Roman"/>
          <w:b w:val="false"/>
          <w:bCs w:val="false"/>
          <w:color w:val="000000"/>
          <w:sz w:val="27"/>
          <w:szCs w:val="27"/>
          <w:lang w:val="ru-RU"/>
        </w:rPr>
      </w:r>
      <w:r/>
    </w:p>
    <w:p>
      <w:pPr>
        <w:pStyle w:val="924"/>
        <w:ind w:left="0" w:right="0" w:firstLine="0"/>
        <w:jc w:val="center"/>
        <w:spacing w:lineRule="auto" w:line="240"/>
        <w:rPr>
          <w:rFonts w:ascii="Times New Roman" w:hAnsi="Times New Roman" w:cs="Times New Roman"/>
          <w:color w:val="000000"/>
          <w:sz w:val="26"/>
        </w:rPr>
      </w:pPr>
      <w:r>
        <w:rPr>
          <w:rFonts w:ascii="Times New Roman" w:hAnsi="Times New Roman" w:cs="Times New Roman" w:eastAsia="Times New Roman"/>
          <w:b w:val="false"/>
          <w:bCs w:val="false"/>
          <w:color w:val="000000"/>
          <w:sz w:val="26"/>
          <w:szCs w:val="27"/>
          <w:lang w:val="ru-RU"/>
        </w:rPr>
        <w:t xml:space="preserve">6.2. Индикативными показателями оценки результативности и эффективности контрольной деятельности органа муниципального земельного контроля являются:</w:t>
      </w:r>
      <w:r>
        <w:rPr>
          <w:sz w:val="26"/>
        </w:rPr>
      </w:r>
      <w:r/>
    </w:p>
    <w:p>
      <w:pPr>
        <w:pStyle w:val="924"/>
        <w:ind w:left="0" w:right="0" w:firstLine="0"/>
        <w:jc w:val="left"/>
        <w:spacing w:lineRule="auto" w:line="240"/>
        <w:rPr>
          <w:sz w:val="27"/>
          <w:szCs w:val="27"/>
        </w:rPr>
      </w:pPr>
      <w:r>
        <w:rPr>
          <w:sz w:val="27"/>
          <w:szCs w:val="27"/>
        </w:rPr>
      </w:r>
      <w:r/>
    </w:p>
    <w:tbl>
      <w:tblPr>
        <w:tblW w:w="10020" w:type="dxa"/>
        <w:tblInd w:w="-386" w:type="dxa"/>
        <w:tblLayout w:type="fixed"/>
        <w:tblCellMar>
          <w:left w:w="0" w:type="dxa"/>
          <w:top w:w="0" w:type="dxa"/>
          <w:right w:w="103" w:type="dxa"/>
          <w:bottom w:w="0" w:type="dxa"/>
        </w:tblCellMar>
        <w:tblLook w:val="04A0" w:firstRow="1" w:lastRow="0" w:firstColumn="1" w:lastColumn="0" w:noHBand="0" w:noVBand="1"/>
      </w:tblPr>
      <w:tblGrid>
        <w:gridCol w:w="810"/>
        <w:gridCol w:w="9210"/>
      </w:tblGrid>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jc w:val="center"/>
              <w:spacing w:lineRule="auto" w:line="240" w:after="0" w:before="0"/>
              <w:widowControl/>
              <w:rPr>
                <w:rFonts w:ascii="Times New Roman" w:hAnsi="Times New Roman" w:cs="Times New Roman" w:eastAsia="Calibri"/>
                <w:b/>
                <w:color w:val="00000A"/>
                <w:sz w:val="24"/>
                <w:szCs w:val="24"/>
                <w:lang w:val="ru-RU" w:bidi="ar-SA" w:eastAsia="ru-RU"/>
              </w:rPr>
            </w:pPr>
            <w:r>
              <w:rPr>
                <w:rFonts w:ascii="Times New Roman" w:hAnsi="Times New Roman" w:cs="Times New Roman" w:eastAsia="Calibri"/>
                <w:b/>
                <w:color w:val="00000A"/>
                <w:sz w:val="24"/>
                <w:szCs w:val="24"/>
                <w:lang w:val="ru-RU" w:bidi="ar-SA" w:eastAsia="ru-RU"/>
              </w:rPr>
              <w:t xml:space="preserve">№</w:t>
            </w:r>
            <w:r>
              <w:rPr>
                <w:rFonts w:ascii="Times New Roman" w:hAnsi="Times New Roman" w:cs="Times New Roman" w:eastAsia="Calibri"/>
                <w:b/>
                <w:color w:val="00000A"/>
                <w:sz w:val="24"/>
                <w:szCs w:val="24"/>
                <w:lang w:val="ru-RU" w:bidi="ar-SA" w:eastAsia="ru-RU"/>
              </w:rPr>
              <w:br/>
              <w:t xml:space="preserve">п/п</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jc w:val="center"/>
              <w:spacing w:lineRule="auto" w:line="240" w:after="0" w:before="0"/>
              <w:widowControl/>
              <w:rPr>
                <w:rFonts w:ascii="Times New Roman" w:hAnsi="Times New Roman" w:cs="Times New Roman" w:eastAsia="Calibri"/>
                <w:b/>
                <w:color w:val="00000A"/>
                <w:sz w:val="24"/>
                <w:szCs w:val="24"/>
                <w:lang w:val="ru-RU" w:bidi="ar-SA" w:eastAsia="ru-RU"/>
              </w:rPr>
            </w:pPr>
            <w:r>
              <w:rPr>
                <w:rFonts w:ascii="Times New Roman" w:hAnsi="Times New Roman" w:cs="Times New Roman" w:eastAsia="Calibri"/>
                <w:b/>
                <w:color w:val="00000A"/>
                <w:sz w:val="24"/>
                <w:szCs w:val="24"/>
                <w:lang w:val="ru-RU" w:bidi="ar-SA" w:eastAsia="ru-RU"/>
              </w:rPr>
              <w:t xml:space="preserve">Наименование показателя</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внеплановых контрольных (надзорных) мероприятий, проведенных</w:t>
              <w:br/>
              <w:t xml:space="preserve">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2</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Общее количество контрольных (надзорных) мероприятий с взаимодействием, проведенных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3</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контрольных (надзорных) мероприятий с взаимодействием</w:t>
              <w:br/>
              <w:t xml:space="preserve">по каждому виду КНМ, проведенных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4</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highlight w:val="none"/>
                <w:lang w:val="ru-RU"/>
              </w:rPr>
            </w:pPr>
            <w:r>
              <w:rPr>
                <w:rFonts w:ascii="Times New Roman" w:hAnsi="Times New Roman" w:cs="Times New Roman" w:eastAsia="Times New Roman"/>
                <w:color w:val="000000"/>
                <w:sz w:val="22"/>
                <w:szCs w:val="22"/>
                <w:lang w:val="ru-RU"/>
              </w:rPr>
              <w:t xml:space="preserve">Количество обязательных профилактических визитов, проведенных за отчетный период</w:t>
            </w:r>
            <w:r/>
          </w:p>
          <w:p>
            <w:pPr>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highlight w:val="none"/>
                <w:lang w:val="ru-RU"/>
              </w:rPr>
            </w:r>
            <w:r>
              <w:rPr>
                <w:rFonts w:ascii="Times New Roman" w:hAnsi="Times New Roman" w:cs="Times New Roman" w:eastAsia="Times New Roman"/>
                <w:color w:val="000000"/>
                <w:sz w:val="22"/>
                <w:szCs w:val="22"/>
                <w:highlight w:val="none"/>
                <w:lang w:val="ru-RU"/>
              </w:rP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5</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предостережений о недопустимости нарушения обязательных требований, объявленных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6</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контрольных (надзорных) мероприятий, по результатам которых выявлены нарушения обязательных требований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7</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контрольных (надзорных) мероприятий, по итогам которых возбуждены дела об административных правонарушениях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8</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направленных в органы прокуратуры заявлений о согласовании проведения контрольных (надзорных) мероприятий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tabs>
                <w:tab w:val="clear" w:pos="709" w:leader="none"/>
                <w:tab w:val="left" w:pos="1066" w:leader="none"/>
              </w:tabs>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9</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737" w:right="0" w:hanging="550"/>
              <w:jc w:val="left"/>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rPr>
                <w:rFonts w:ascii="Times New Roman" w:hAnsi="Times New Roman" w:cs="Times New Roman" w:eastAsia="Times New Roman"/>
                <w:color w:val="000000"/>
                <w:sz w:val="22"/>
                <w:szCs w:val="22"/>
                <w:lang w:val="ru-RU"/>
              </w:rPr>
              <w:t xml:space="preserve">0</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highlight w:val="none"/>
                <w:lang w:val="ru-RU"/>
              </w:rPr>
            </w:pPr>
            <w:r>
              <w:rPr>
                <w:rFonts w:ascii="Times New Roman" w:hAnsi="Times New Roman" w:cs="Times New Roman" w:eastAsia="Times New Roman"/>
                <w:color w:val="000000"/>
                <w:sz w:val="22"/>
                <w:szCs w:val="22"/>
                <w:lang w:val="ru-RU"/>
              </w:rPr>
              <w:t xml:space="preserve">Общее количество учтенных объектов контроля на конец отчетного периода</w:t>
            </w:r>
            <w:r/>
            <w:r/>
            <w:r/>
          </w:p>
          <w:p>
            <w:pPr>
              <w:ind w:left="142" w:right="0" w:firstLine="0"/>
              <w:jc w:val="both"/>
              <w:spacing w:lineRule="auto" w:line="240" w:after="0" w:before="0"/>
              <w:widowControl/>
              <w:rPr>
                <w:rFonts w:ascii="Times New Roman" w:hAnsi="Times New Roman" w:cs="Times New Roman" w:eastAsia="Calibri"/>
                <w:color w:val="00000A"/>
                <w:sz w:val="24"/>
                <w:szCs w:val="24"/>
                <w:lang w:eastAsia="ru-RU"/>
              </w:rPr>
            </w:pPr>
            <w:r>
              <w:rPr>
                <w:rFonts w:ascii="Times New Roman" w:hAnsi="Times New Roman" w:cs="Times New Roman" w:eastAsia="Times New Roman"/>
                <w:color w:val="000000"/>
                <w:sz w:val="22"/>
                <w:szCs w:val="22"/>
                <w:highlight w:val="none"/>
                <w:lang w:val="ru-RU"/>
              </w:rPr>
            </w:r>
            <w:r>
              <w:rPr>
                <w:rFonts w:ascii="Times New Roman" w:hAnsi="Times New Roman" w:cs="Times New Roman" w:eastAsia="Times New Roman"/>
                <w:color w:val="000000"/>
                <w:sz w:val="22"/>
                <w:szCs w:val="22"/>
                <w:highlight w:val="none"/>
                <w:lang w:val="ru-RU"/>
              </w:rPr>
            </w:r>
          </w:p>
        </w:tc>
      </w:tr>
      <w:tr>
        <w:trPr>
          <w:trHeight w:val="323"/>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624" w:right="-108" w:hanging="437"/>
              <w:jc w:val="left"/>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rPr>
                <w:rFonts w:ascii="Times New Roman" w:hAnsi="Times New Roman" w:cs="Times New Roman" w:eastAsia="Times New Roman"/>
                <w:color w:val="000000"/>
                <w:sz w:val="22"/>
                <w:szCs w:val="22"/>
                <w:lang w:val="ru-RU"/>
              </w:rPr>
              <w:t xml:space="preserve">1</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учтенных объектов контроля, отнесенных к категориям риска,</w:t>
              <w:br/>
              <w:t xml:space="preserve">по каждой из категорий риска на конец отчетного периода</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624" w:right="-108" w:hanging="437"/>
              <w:jc w:val="left"/>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rPr>
                <w:rFonts w:ascii="Times New Roman" w:hAnsi="Times New Roman" w:cs="Times New Roman" w:eastAsia="Times New Roman"/>
                <w:color w:val="000000"/>
                <w:sz w:val="22"/>
                <w:szCs w:val="22"/>
                <w:lang w:val="ru-RU"/>
              </w:rPr>
              <w:t xml:space="preserve">2</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highlight w:val="none"/>
                <w:lang w:val="ru-RU"/>
              </w:rPr>
            </w:pPr>
            <w:r>
              <w:rPr>
                <w:rFonts w:ascii="Times New Roman" w:hAnsi="Times New Roman" w:cs="Times New Roman" w:eastAsia="Times New Roman"/>
                <w:color w:val="000000"/>
                <w:sz w:val="22"/>
                <w:szCs w:val="22"/>
                <w:lang w:val="ru-RU"/>
              </w:rPr>
              <w:t xml:space="preserve">Количество учтенных контролируемых лиц на конец отчетного периода</w:t>
            </w:r>
            <w:r/>
          </w:p>
          <w:p>
            <w:pPr>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highlight w:val="none"/>
                <w:lang w:val="ru-RU"/>
              </w:rPr>
            </w:r>
            <w:r>
              <w:rPr>
                <w:rFonts w:ascii="Times New Roman" w:hAnsi="Times New Roman" w:cs="Times New Roman" w:eastAsia="Times New Roman"/>
                <w:color w:val="000000"/>
                <w:sz w:val="22"/>
                <w:szCs w:val="22"/>
                <w:highlight w:val="none"/>
                <w:lang w:val="ru-RU"/>
              </w:rP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624" w:right="-108" w:hanging="437"/>
              <w:jc w:val="left"/>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rPr>
                <w:rFonts w:ascii="Times New Roman" w:hAnsi="Times New Roman" w:cs="Times New Roman" w:eastAsia="Times New Roman"/>
                <w:color w:val="000000"/>
                <w:sz w:val="22"/>
                <w:szCs w:val="22"/>
                <w:lang w:val="ru-RU"/>
              </w:rPr>
              <w:t xml:space="preserve">3</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учтенных контролируемых лиц, в отношении которых проведены контрольные (надзорные) мероприятия за отчетный период</w:t>
            </w:r>
            <w:r/>
          </w:p>
        </w:tc>
      </w:tr>
      <w:tr>
        <w:trPr/>
        <w:tc>
          <w:tcPr>
            <w:tcBorders>
              <w:left w:val="single" w:color="000000" w:sz="4" w:space="0"/>
              <w:top w:val="single" w:color="000000" w:sz="4" w:space="0"/>
              <w:right w:val="single" w:color="000000" w:sz="4" w:space="0"/>
              <w:bottom w:val="single" w:color="000000" w:sz="4" w:space="0"/>
            </w:tcBorders>
            <w:tcW w:w="810" w:type="dxa"/>
            <w:textDirection w:val="lrTb"/>
            <w:noWrap w:val="false"/>
          </w:tcPr>
          <w:p>
            <w:pPr>
              <w:pStyle w:val="798"/>
              <w:contextualSpacing w:val="true"/>
              <w:ind w:left="624" w:right="-108" w:hanging="437"/>
              <w:jc w:val="left"/>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1</w:t>
            </w:r>
            <w:r>
              <w:rPr>
                <w:rFonts w:ascii="Times New Roman" w:hAnsi="Times New Roman" w:cs="Times New Roman" w:eastAsia="Times New Roman"/>
                <w:color w:val="000000"/>
                <w:sz w:val="22"/>
                <w:szCs w:val="22"/>
                <w:lang w:val="ru-RU"/>
              </w:rPr>
              <w:t xml:space="preserve">4</w:t>
            </w:r>
            <w:r/>
          </w:p>
        </w:tc>
        <w:tc>
          <w:tcPr>
            <w:tcBorders>
              <w:left w:val="single" w:color="000000" w:sz="4" w:space="0"/>
              <w:top w:val="single" w:color="000000" w:sz="4" w:space="0"/>
              <w:right w:val="single" w:color="000000" w:sz="4" w:space="0"/>
              <w:bottom w:val="single" w:color="000000" w:sz="4" w:space="0"/>
            </w:tcBorders>
            <w:tcW w:w="9210" w:type="dxa"/>
            <w:textDirection w:val="lrTb"/>
            <w:noWrap w:val="false"/>
          </w:tcPr>
          <w:p>
            <w:pPr>
              <w:pStyle w:val="798"/>
              <w:ind w:left="142" w:right="0" w:firstLine="0"/>
              <w:jc w:val="both"/>
              <w:spacing w:lineRule="auto" w:line="240" w:after="0" w:before="0"/>
              <w:widowControl/>
              <w:rPr>
                <w:rFonts w:ascii="Times New Roman" w:hAnsi="Times New Roman" w:cs="Times New Roman" w:eastAsia="Times New Roman"/>
                <w:color w:val="000000"/>
                <w:sz w:val="22"/>
                <w:szCs w:val="22"/>
                <w:lang w:val="ru-RU"/>
              </w:rPr>
            </w:pPr>
            <w:r>
              <w:rPr>
                <w:rFonts w:ascii="Times New Roman" w:hAnsi="Times New Roman" w:cs="Times New Roman" w:eastAsia="Times New Roman"/>
                <w:color w:val="000000"/>
                <w:sz w:val="22"/>
                <w:szCs w:val="22"/>
                <w:lang w:val="ru-RU"/>
              </w:rPr>
              <w:t xml:space="preserve">Количество жалоб, в отношении которых контрольным (надзорным) органом был нарушен срок рассмотрения за отчетный период</w:t>
            </w:r>
            <w:r/>
          </w:p>
        </w:tc>
      </w:tr>
    </w:tbl>
    <w:p>
      <w:pPr>
        <w:pStyle w:val="798"/>
        <w:ind w:left="0" w:right="0" w:firstLine="0"/>
        <w:jc w:val="left"/>
      </w:pPr>
      <w:r/>
      <w:r/>
    </w:p>
    <w:p>
      <w:pPr>
        <w:pStyle w:val="924"/>
        <w:ind w:left="0" w:right="0" w:firstLine="0"/>
        <w:jc w:val="left"/>
      </w:pPr>
      <w:r/>
      <w:r/>
    </w:p>
    <w:p>
      <w:pPr>
        <w:pStyle w:val="924"/>
        <w:ind w:left="0" w:right="0" w:firstLine="0"/>
        <w:jc w:val="left"/>
      </w:pPr>
      <w:r/>
      <w:r/>
    </w:p>
    <w:p>
      <w:pPr>
        <w:pStyle w:val="924"/>
        <w:ind w:left="0" w:right="0" w:firstLine="0"/>
        <w:jc w:val="left"/>
      </w:pPr>
      <w:r/>
      <w:r/>
    </w:p>
    <w:p>
      <w:pPr>
        <w:pStyle w:val="924"/>
        <w:ind w:left="0" w:right="0" w:firstLine="0"/>
        <w:jc w:val="left"/>
      </w:pPr>
      <w:r/>
      <w:r/>
    </w:p>
    <w:p>
      <w:pPr>
        <w:pStyle w:val="924"/>
        <w:ind w:left="0" w:right="0" w:firstLine="0"/>
        <w:jc w:val="left"/>
        <w:spacing w:lineRule="auto" w:line="240"/>
        <w:rPr>
          <w:sz w:val="26"/>
        </w:rPr>
      </w:pPr>
      <w:r>
        <w:rPr>
          <w:sz w:val="26"/>
        </w:rPr>
      </w:r>
      <w:r>
        <w:rPr>
          <w:sz w:val="26"/>
        </w:rPr>
      </w:r>
      <w:r/>
    </w:p>
    <w:p>
      <w:pPr>
        <w:pStyle w:val="924"/>
        <w:ind w:left="0" w:right="0" w:firstLine="0"/>
        <w:jc w:val="left"/>
        <w:spacing w:lineRule="auto" w:line="240"/>
        <w:rPr>
          <w:sz w:val="26"/>
        </w:rPr>
      </w:pPr>
      <w:r>
        <w:rPr>
          <w:sz w:val="26"/>
        </w:rPr>
      </w:r>
      <w:r>
        <w:rPr>
          <w:sz w:val="26"/>
        </w:rPr>
      </w:r>
      <w:r/>
    </w:p>
    <w:tbl>
      <w:tblPr>
        <w:tblW w:w="9570" w:type="dxa"/>
        <w:tblInd w:w="0" w:type="dxa"/>
        <w:tblLayout w:type="fixed"/>
        <w:tblCellMar>
          <w:left w:w="108" w:type="dxa"/>
          <w:top w:w="0" w:type="dxa"/>
          <w:right w:w="108" w:type="dxa"/>
          <w:bottom w:w="0" w:type="dxa"/>
        </w:tblCellMar>
        <w:tblLook w:val="04A0" w:firstRow="1" w:lastRow="0" w:firstColumn="1" w:lastColumn="0" w:noHBand="0" w:noVBand="1"/>
      </w:tblPr>
      <w:tblGrid>
        <w:gridCol w:w="4077"/>
        <w:gridCol w:w="5493"/>
      </w:tblGrid>
      <w:tr>
        <w:trPr/>
        <w:tc>
          <w:tcPr>
            <w:tcW w:w="4077" w:type="dxa"/>
            <w:textDirection w:val="lrTb"/>
            <w:noWrap w:val="false"/>
          </w:tcPr>
          <w:p>
            <w:pPr>
              <w:pStyle w:val="924"/>
              <w:ind w:left="0" w:right="0" w:firstLine="0"/>
              <w:jc w:val="center"/>
              <w:spacing w:lineRule="auto" w:line="240" w:after="0" w:before="0"/>
              <w:rPr>
                <w:sz w:val="26"/>
                <w:szCs w:val="27"/>
              </w:rPr>
            </w:pPr>
            <w:r>
              <w:rPr>
                <w:sz w:val="26"/>
                <w:szCs w:val="27"/>
              </w:rPr>
            </w:r>
            <w:r>
              <w:rPr>
                <w:sz w:val="26"/>
              </w:rPr>
            </w:r>
            <w:r/>
          </w:p>
        </w:tc>
        <w:tc>
          <w:tcPr>
            <w:tcW w:w="5493" w:type="dxa"/>
            <w:textDirection w:val="lrTb"/>
            <w:noWrap w:val="false"/>
          </w:tcPr>
          <w:p>
            <w:pPr>
              <w:pStyle w:val="924"/>
              <w:ind w:left="0" w:right="0" w:firstLine="0"/>
              <w:jc w:val="center"/>
              <w:spacing w:lineRule="auto" w:line="240" w:after="0" w:before="0"/>
              <w:rPr>
                <w:rFonts w:ascii="Times New Roman" w:hAnsi="Times New Roman" w:cs="Times New Roman"/>
                <w:b/>
                <w:color w:val="000000"/>
                <w:sz w:val="26"/>
                <w:szCs w:val="27"/>
              </w:rPr>
            </w:pPr>
            <w:r>
              <w:rPr>
                <w:rFonts w:ascii="Times New Roman" w:hAnsi="Times New Roman" w:cs="Times New Roman"/>
                <w:b/>
                <w:color w:val="000000"/>
                <w:sz w:val="26"/>
                <w:szCs w:val="27"/>
                <w:lang w:val="ru-RU"/>
              </w:rPr>
              <w:t xml:space="preserve">Приложение № 1</w:t>
            </w:r>
            <w:r>
              <w:rPr>
                <w:sz w:val="26"/>
              </w:rPr>
            </w:r>
            <w:r/>
          </w:p>
          <w:p>
            <w:pPr>
              <w:pStyle w:val="924"/>
              <w:ind w:left="0" w:right="0" w:firstLine="0"/>
              <w:jc w:val="center"/>
              <w:spacing w:lineRule="auto" w:line="240" w:after="0" w:before="0"/>
              <w:rPr>
                <w:rFonts w:ascii="Times New Roman" w:hAnsi="Times New Roman" w:cs="Times New Roman"/>
                <w:b/>
                <w:color w:val="000000"/>
                <w:sz w:val="26"/>
                <w:szCs w:val="27"/>
                <w:lang w:val="ru-RU"/>
              </w:rPr>
            </w:pPr>
            <w:r>
              <w:rPr>
                <w:rFonts w:ascii="Times New Roman" w:hAnsi="Times New Roman" w:cs="Times New Roman"/>
                <w:b/>
                <w:color w:val="000000"/>
                <w:sz w:val="26"/>
                <w:szCs w:val="27"/>
                <w:lang w:val="ru-RU"/>
              </w:rPr>
              <w:t xml:space="preserve">к Положению о муниципальном</w:t>
            </w:r>
            <w:r/>
          </w:p>
          <w:p>
            <w:pPr>
              <w:pStyle w:val="924"/>
              <w:ind w:left="0" w:right="0" w:firstLine="0"/>
              <w:jc w:val="center"/>
              <w:spacing w:lineRule="auto" w:line="240" w:after="0" w:before="0"/>
              <w:rPr>
                <w:rFonts w:ascii="Times New Roman" w:hAnsi="Times New Roman" w:cs="Times New Roman"/>
                <w:b/>
                <w:color w:val="000000"/>
                <w:sz w:val="26"/>
                <w:szCs w:val="27"/>
              </w:rPr>
            </w:pPr>
            <w:r>
              <w:rPr>
                <w:rFonts w:ascii="Times New Roman" w:hAnsi="Times New Roman" w:cs="Times New Roman"/>
                <w:b/>
                <w:color w:val="000000"/>
                <w:sz w:val="26"/>
                <w:szCs w:val="27"/>
                <w:lang w:val="ru-RU"/>
              </w:rPr>
              <w:t xml:space="preserve"> земельном контроле в границах Новооскольского муниципального округа </w:t>
            </w:r>
            <w:r>
              <w:rPr>
                <w:rFonts w:ascii="Times New Roman" w:hAnsi="Times New Roman" w:cs="Times New Roman"/>
                <w:b/>
                <w:color w:val="000000"/>
                <w:sz w:val="26"/>
                <w:szCs w:val="27"/>
                <w:lang w:val="ru-RU"/>
              </w:rPr>
              <w:t xml:space="preserve">Белгородской области</w:t>
            </w:r>
            <w:r>
              <w:rPr>
                <w:sz w:val="26"/>
              </w:rPr>
            </w:r>
            <w:r/>
          </w:p>
        </w:tc>
      </w:tr>
    </w:tbl>
    <w:p>
      <w:pPr>
        <w:pStyle w:val="924"/>
        <w:ind w:left="0" w:right="0" w:firstLine="0"/>
        <w:jc w:val="center"/>
        <w:spacing w:lineRule="auto" w:line="240"/>
        <w:rPr>
          <w:sz w:val="26"/>
          <w:szCs w:val="27"/>
        </w:rPr>
      </w:pPr>
      <w:r>
        <w:rPr>
          <w:sz w:val="26"/>
          <w:szCs w:val="27"/>
        </w:rPr>
      </w:r>
      <w:r>
        <w:rPr>
          <w:sz w:val="26"/>
        </w:rPr>
      </w:r>
      <w:r/>
    </w:p>
    <w:p>
      <w:pPr>
        <w:pStyle w:val="924"/>
        <w:ind w:left="0" w:right="0" w:firstLine="0"/>
        <w:jc w:val="center"/>
        <w:spacing w:lineRule="auto" w:line="240"/>
        <w:rPr>
          <w:sz w:val="26"/>
          <w:szCs w:val="27"/>
        </w:rPr>
      </w:pPr>
      <w:r>
        <w:rPr>
          <w:sz w:val="26"/>
          <w:szCs w:val="27"/>
        </w:rPr>
      </w:r>
      <w:r>
        <w:rPr>
          <w:sz w:val="26"/>
        </w:rPr>
      </w:r>
      <w:r/>
    </w:p>
    <w:p>
      <w:pPr>
        <w:pStyle w:val="919"/>
        <w:jc w:val="center"/>
        <w:spacing w:lineRule="auto" w:line="240"/>
        <w:rPr>
          <w:rFonts w:ascii="Times New Roman" w:hAnsi="Times New Roman" w:cs="Times New Roman"/>
          <w:color w:val="000000"/>
          <w:sz w:val="26"/>
        </w:rPr>
      </w:pPr>
      <w:r>
        <w:rPr>
          <w:sz w:val="26"/>
        </w:rPr>
      </w:r>
      <w:bookmarkStart w:id="0" w:name="Par381"/>
      <w:r>
        <w:rPr>
          <w:sz w:val="26"/>
        </w:rPr>
      </w:r>
      <w:bookmarkEnd w:id="0"/>
      <w:r>
        <w:rPr>
          <w:rFonts w:ascii="Times New Roman" w:hAnsi="Times New Roman" w:cs="Times New Roman"/>
          <w:color w:val="000000"/>
          <w:sz w:val="26"/>
          <w:szCs w:val="27"/>
        </w:rPr>
        <w:t xml:space="preserve">Критерии</w:t>
      </w:r>
      <w:r>
        <w:rPr>
          <w:sz w:val="26"/>
        </w:rPr>
      </w:r>
      <w:r/>
    </w:p>
    <w:p>
      <w:pPr>
        <w:pStyle w:val="919"/>
        <w:jc w:val="center"/>
        <w:spacing w:lineRule="auto" w:line="240"/>
        <w:rPr>
          <w:rFonts w:ascii="Times New Roman" w:hAnsi="Times New Roman" w:cs="Times New Roman"/>
          <w:b w:val="false"/>
          <w:color w:val="000000"/>
          <w:sz w:val="26"/>
        </w:rPr>
      </w:pPr>
      <w:r>
        <w:rPr>
          <w:rFonts w:ascii="Times New Roman" w:hAnsi="Times New Roman" w:cs="Times New Roman"/>
          <w:color w:val="000000"/>
          <w:sz w:val="26"/>
          <w:szCs w:val="27"/>
        </w:rPr>
        <w:t xml:space="preserve">отнес</w:t>
      </w:r>
      <w:r>
        <w:rPr>
          <w:rFonts w:ascii="Times New Roman" w:hAnsi="Times New Roman" w:cs="Times New Roman"/>
          <w:color w:val="000000"/>
          <w:sz w:val="26"/>
          <w:szCs w:val="27"/>
        </w:rPr>
        <w:t xml:space="preserve">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Новооскольского муниципального округа муниципального земельного контроля</w:t>
      </w:r>
      <w:r>
        <w:rPr>
          <w:sz w:val="26"/>
        </w:rPr>
      </w:r>
      <w:r/>
    </w:p>
    <w:p>
      <w:pPr>
        <w:pStyle w:val="919"/>
        <w:jc w:val="center"/>
        <w:spacing w:lineRule="auto" w:line="240"/>
        <w:rPr>
          <w:sz w:val="26"/>
          <w:szCs w:val="27"/>
        </w:rPr>
      </w:pPr>
      <w:r>
        <w:rPr>
          <w:sz w:val="26"/>
          <w:szCs w:val="27"/>
        </w:rPr>
      </w:r>
      <w:r>
        <w:rPr>
          <w:sz w:val="26"/>
        </w:rPr>
      </w:r>
      <w:r/>
    </w:p>
    <w:p>
      <w:pPr>
        <w:pStyle w:val="894"/>
        <w:numPr>
          <w:ilvl w:val="0"/>
          <w:numId w:val="0"/>
        </w:numPr>
        <w:ind w:left="0" w:right="0" w:firstLine="0"/>
        <w:jc w:val="both"/>
        <w:spacing w:lineRule="auto" w:line="24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 </w:t>
      </w:r>
      <w:r>
        <w:rPr>
          <w:rFonts w:cs="Times New Roman" w:eastAsia="Times New Roman"/>
          <w:b w:val="false"/>
          <w:bCs w:val="false"/>
          <w:color w:val="000000"/>
          <w:sz w:val="26"/>
          <w:szCs w:val="27"/>
          <w:lang w:val="ru-RU"/>
        </w:rPr>
        <w:t xml:space="preserve">К категории среднего риска относятся:</w:t>
      </w:r>
      <w:r>
        <w:rPr>
          <w:sz w:val="26"/>
        </w:rPr>
      </w:r>
      <w:r/>
    </w:p>
    <w:p>
      <w:pPr>
        <w:pStyle w:val="894"/>
        <w:numPr>
          <w:ilvl w:val="0"/>
          <w:numId w:val="0"/>
        </w:numPr>
        <w:ind w:left="0" w:right="0" w:firstLine="0"/>
        <w:spacing w:lineRule="auto" w:line="24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1.2 </w:t>
      </w:r>
      <w:r>
        <w:rPr>
          <w:rFonts w:cs="Times New Roman" w:eastAsia="Times New Roman"/>
          <w:b w:val="false"/>
          <w:bCs w:val="false"/>
          <w:color w:val="000000"/>
          <w:sz w:val="26"/>
          <w:szCs w:val="27"/>
          <w:lang w:val="ru-RU"/>
        </w:rPr>
        <w:t xml:space="preserve">Земли и земельные участки, граничащие с земельным участками предназначенными для захоронения и размещения отходов производства и потребления, размещения кла</w:t>
      </w:r>
      <w:r>
        <w:rPr>
          <w:rFonts w:cs="Times New Roman" w:eastAsia="Times New Roman"/>
          <w:b w:val="false"/>
          <w:bCs w:val="false"/>
          <w:color w:val="000000"/>
          <w:sz w:val="26"/>
          <w:szCs w:val="27"/>
          <w:lang w:val="ru-RU"/>
        </w:rPr>
        <w:t xml:space="preserve">дбищ;</w:t>
      </w:r>
      <w:r>
        <w:rPr>
          <w:sz w:val="26"/>
        </w:rPr>
      </w:r>
      <w:r/>
    </w:p>
    <w:p>
      <w:pPr>
        <w:pStyle w:val="894"/>
        <w:numPr>
          <w:ilvl w:val="0"/>
          <w:numId w:val="0"/>
        </w:numPr>
        <w:ind w:left="0" w:right="0" w:firstLine="0"/>
        <w:spacing w:lineRule="auto" w:line="24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1.2 </w:t>
      </w:r>
      <w:r>
        <w:rPr>
          <w:rFonts w:cs="Times New Roman" w:eastAsia="Times New Roman"/>
          <w:b w:val="false"/>
          <w:bCs w:val="false"/>
          <w:color w:val="000000"/>
          <w:sz w:val="26"/>
          <w:szCs w:val="27"/>
          <w:lang w:val="ru-RU"/>
        </w:rPr>
        <w:t xml:space="preserve">Земли и земельные участки, расположенные в границах или примыкающие к границе береговой полосы водных объектов общего пользования;</w:t>
      </w:r>
      <w:r>
        <w:rPr>
          <w:sz w:val="26"/>
        </w:rPr>
      </w:r>
      <w:r/>
    </w:p>
    <w:p>
      <w:pPr>
        <w:pStyle w:val="894"/>
        <w:numPr>
          <w:ilvl w:val="0"/>
          <w:numId w:val="0"/>
        </w:numPr>
        <w:ind w:left="0" w:right="0" w:firstLine="0"/>
        <w:spacing w:lineRule="auto" w:line="24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1.3 </w:t>
      </w:r>
      <w:r>
        <w:rPr>
          <w:rFonts w:cs="Times New Roman" w:eastAsia="Times New Roman"/>
          <w:b w:val="false"/>
          <w:bCs w:val="false"/>
          <w:color w:val="000000"/>
          <w:sz w:val="26"/>
          <w:szCs w:val="27"/>
          <w:lang w:val="ru-RU"/>
        </w:rPr>
        <w:t xml:space="preserve">Земельные участки, предназначенные для гаражного и (или) жилищного строительства, ведения личного подсобного хозяйства (приусадебные земельные участки).</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 К категории умеренного риска относятся земельные участки со следующими видами разрешенного использования:</w:t>
      </w:r>
      <w:r>
        <w:rPr>
          <w:sz w:val="26"/>
        </w:rPr>
      </w:r>
      <w:r/>
    </w:p>
    <w:p>
      <w:pPr>
        <w:pStyle w:val="894"/>
        <w:numPr>
          <w:ilvl w:val="0"/>
          <w:numId w:val="0"/>
        </w:numPr>
        <w:ind w:left="0" w:right="0" w:firstLine="0"/>
        <w:jc w:val="both"/>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 </w:t>
      </w:r>
      <w:r>
        <w:rPr>
          <w:rFonts w:cs="Times New Roman" w:eastAsia="Times New Roman"/>
          <w:b w:val="false"/>
          <w:bCs w:val="false"/>
          <w:color w:val="000000"/>
          <w:sz w:val="26"/>
          <w:szCs w:val="27"/>
          <w:lang w:val="ru-RU"/>
        </w:rPr>
        <w:t xml:space="preserve">Сельскохозяйственное использование (код 1.0) ;</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 </w:t>
      </w:r>
      <w:r>
        <w:rPr>
          <w:rFonts w:cs="Times New Roman" w:eastAsia="Times New Roman"/>
          <w:b w:val="false"/>
          <w:bCs w:val="false"/>
          <w:color w:val="000000"/>
          <w:sz w:val="26"/>
          <w:szCs w:val="27"/>
          <w:lang w:val="ru-RU"/>
        </w:rPr>
        <w:t xml:space="preserve">Бытовое обслуживание (код 3.3);</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3) </w:t>
      </w:r>
      <w:r>
        <w:rPr>
          <w:rFonts w:cs="Times New Roman" w:eastAsia="Times New Roman"/>
          <w:b w:val="false"/>
          <w:bCs w:val="false"/>
          <w:color w:val="000000"/>
          <w:sz w:val="26"/>
          <w:szCs w:val="27"/>
          <w:lang w:val="ru-RU"/>
        </w:rPr>
        <w:t xml:space="preserve">Предпринимательство (код 4.0);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5) </w:t>
      </w:r>
      <w:r>
        <w:rPr>
          <w:rFonts w:cs="Times New Roman" w:eastAsia="Times New Roman"/>
          <w:b w:val="false"/>
          <w:bCs w:val="false"/>
          <w:color w:val="000000"/>
          <w:sz w:val="26"/>
          <w:szCs w:val="27"/>
          <w:lang w:val="ru-RU"/>
        </w:rPr>
        <w:t xml:space="preserve">Производственная деятельность (код 6.0);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6) </w:t>
      </w:r>
      <w:r>
        <w:rPr>
          <w:rFonts w:cs="Times New Roman" w:eastAsia="Times New Roman"/>
          <w:b w:val="false"/>
          <w:bCs w:val="false"/>
          <w:color w:val="000000"/>
          <w:sz w:val="26"/>
          <w:szCs w:val="27"/>
          <w:lang w:val="ru-RU"/>
        </w:rPr>
        <w:t xml:space="preserve">Недропользование (код 6.1);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7) </w:t>
      </w:r>
      <w:r>
        <w:rPr>
          <w:rFonts w:cs="Times New Roman" w:eastAsia="Times New Roman"/>
          <w:b w:val="false"/>
          <w:bCs w:val="false"/>
          <w:color w:val="000000"/>
          <w:sz w:val="26"/>
          <w:szCs w:val="27"/>
          <w:lang w:val="ru-RU"/>
        </w:rPr>
        <w:t xml:space="preserve">Тяжелая промышленность (код 6.2);</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8) </w:t>
      </w:r>
      <w:r>
        <w:rPr>
          <w:rFonts w:cs="Times New Roman" w:eastAsia="Times New Roman"/>
          <w:b w:val="false"/>
          <w:bCs w:val="false"/>
          <w:color w:val="000000"/>
          <w:sz w:val="26"/>
          <w:szCs w:val="27"/>
          <w:lang w:val="ru-RU"/>
        </w:rPr>
        <w:t xml:space="preserve">Легкая промышленность (код 6.3);</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9) </w:t>
      </w:r>
      <w:r>
        <w:rPr>
          <w:rFonts w:cs="Times New Roman" w:eastAsia="Times New Roman"/>
          <w:b w:val="false"/>
          <w:bCs w:val="false"/>
          <w:color w:val="000000"/>
          <w:sz w:val="26"/>
          <w:szCs w:val="27"/>
          <w:lang w:val="ru-RU"/>
        </w:rPr>
        <w:t xml:space="preserve">Фармацевтическая промышленность (код 6.3.1);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 xml:space="preserve"> </w:t>
      </w:r>
      <w:r>
        <w:rPr>
          <w:rFonts w:cs="Times New Roman" w:eastAsia="Times New Roman"/>
          <w:b w:val="false"/>
          <w:bCs w:val="false"/>
          <w:color w:val="000000"/>
          <w:sz w:val="26"/>
          <w:szCs w:val="27"/>
          <w:lang w:val="ru-RU"/>
        </w:rPr>
        <w:tab/>
        <w:t xml:space="preserve">10) </w:t>
      </w:r>
      <w:r>
        <w:rPr>
          <w:rFonts w:cs="Times New Roman" w:eastAsia="Times New Roman"/>
          <w:b w:val="false"/>
          <w:bCs w:val="false"/>
          <w:color w:val="000000"/>
          <w:sz w:val="26"/>
          <w:szCs w:val="27"/>
          <w:lang w:val="ru-RU"/>
        </w:rPr>
        <w:t xml:space="preserve">Пищевая промышленность (код 6.4);</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11) </w:t>
      </w:r>
      <w:r>
        <w:rPr>
          <w:rFonts w:cs="Times New Roman" w:eastAsia="Times New Roman"/>
          <w:b w:val="false"/>
          <w:bCs w:val="false"/>
          <w:color w:val="000000"/>
          <w:sz w:val="26"/>
          <w:szCs w:val="27"/>
          <w:lang w:val="ru-RU"/>
        </w:rPr>
        <w:t xml:space="preserve">Нефтехимическая промышленность (код 6.5);</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12) </w:t>
      </w:r>
      <w:r>
        <w:rPr>
          <w:rFonts w:cs="Times New Roman" w:eastAsia="Times New Roman"/>
          <w:b w:val="false"/>
          <w:bCs w:val="false"/>
          <w:color w:val="000000"/>
          <w:sz w:val="26"/>
          <w:szCs w:val="27"/>
          <w:lang w:val="ru-RU"/>
        </w:rPr>
        <w:t xml:space="preserve">Строительная промышленность (код 6.6);</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13) </w:t>
      </w:r>
      <w:r>
        <w:rPr>
          <w:rFonts w:cs="Times New Roman" w:eastAsia="Times New Roman"/>
          <w:b w:val="false"/>
          <w:bCs w:val="false"/>
          <w:color w:val="000000"/>
          <w:sz w:val="26"/>
          <w:szCs w:val="27"/>
          <w:lang w:val="ru-RU"/>
        </w:rPr>
        <w:t xml:space="preserve">Энергетика (код 6.7);</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14) </w:t>
      </w:r>
      <w:r>
        <w:rPr>
          <w:rFonts w:cs="Times New Roman" w:eastAsia="Times New Roman"/>
          <w:b w:val="false"/>
          <w:bCs w:val="false"/>
          <w:color w:val="000000"/>
          <w:sz w:val="26"/>
          <w:szCs w:val="27"/>
          <w:lang w:val="ru-RU"/>
        </w:rPr>
        <w:t xml:space="preserve">Склады (код 6.9);</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15) </w:t>
      </w:r>
      <w:r>
        <w:rPr>
          <w:rFonts w:cs="Times New Roman" w:eastAsia="Times New Roman"/>
          <w:b w:val="false"/>
          <w:bCs w:val="false"/>
          <w:color w:val="000000"/>
          <w:sz w:val="26"/>
          <w:szCs w:val="27"/>
          <w:lang w:val="ru-RU"/>
        </w:rPr>
        <w:t xml:space="preserve">Складские площадки (код 6.9.1);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16) </w:t>
      </w:r>
      <w:r>
        <w:rPr>
          <w:rFonts w:cs="Times New Roman" w:eastAsia="Times New Roman"/>
          <w:b w:val="false"/>
          <w:bCs w:val="false"/>
          <w:color w:val="000000"/>
          <w:sz w:val="26"/>
          <w:szCs w:val="27"/>
          <w:lang w:val="ru-RU"/>
        </w:rPr>
        <w:t xml:space="preserve">Целлюлозно-бумажная промышленность (код 6.11);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17) </w:t>
      </w:r>
      <w:r>
        <w:rPr>
          <w:rFonts w:cs="Times New Roman" w:eastAsia="Times New Roman"/>
          <w:b w:val="false"/>
          <w:bCs w:val="false"/>
          <w:color w:val="000000"/>
          <w:sz w:val="26"/>
          <w:szCs w:val="27"/>
          <w:lang w:val="ru-RU"/>
        </w:rPr>
        <w:t xml:space="preserve">Транспорт (код 7.0);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18) </w:t>
      </w:r>
      <w:r>
        <w:rPr>
          <w:rFonts w:cs="Times New Roman" w:eastAsia="Times New Roman"/>
          <w:b w:val="false"/>
          <w:bCs w:val="false"/>
          <w:color w:val="000000"/>
          <w:sz w:val="26"/>
          <w:szCs w:val="27"/>
          <w:lang w:val="ru-RU"/>
        </w:rPr>
        <w:t xml:space="preserve">Земельные участки (территории) общего пользования (код 12.0);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19) </w:t>
      </w:r>
      <w:r>
        <w:rPr>
          <w:rFonts w:cs="Times New Roman" w:eastAsia="Times New Roman"/>
          <w:b w:val="false"/>
          <w:bCs w:val="false"/>
          <w:color w:val="000000"/>
          <w:sz w:val="26"/>
          <w:szCs w:val="27"/>
          <w:lang w:val="ru-RU"/>
        </w:rPr>
        <w:t xml:space="preserve">Ведение садоводства (код 13.2);</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20) </w:t>
      </w:r>
      <w:r>
        <w:rPr>
          <w:rFonts w:cs="Times New Roman" w:eastAsia="Times New Roman"/>
          <w:b w:val="false"/>
          <w:bCs w:val="false"/>
          <w:color w:val="000000"/>
          <w:sz w:val="26"/>
          <w:szCs w:val="27"/>
          <w:lang w:val="ru-RU"/>
        </w:rPr>
        <w:t xml:space="preserve">Ведение огородничества (код 13.1);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2.21 </w:t>
      </w:r>
      <w:r>
        <w:rPr>
          <w:rFonts w:cs="Times New Roman" w:eastAsia="Times New Roman"/>
          <w:b w:val="false"/>
          <w:bCs w:val="false"/>
          <w:color w:val="000000"/>
          <w:sz w:val="26"/>
          <w:szCs w:val="27"/>
          <w:lang w:val="ru-RU"/>
        </w:rPr>
        <w:t xml:space="preserve">Граничащие с земельными участками с видами разрешенного использования:</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 </w:t>
      </w:r>
      <w:r>
        <w:rPr>
          <w:rFonts w:cs="Times New Roman" w:eastAsia="Times New Roman"/>
          <w:b w:val="false"/>
          <w:bCs w:val="false"/>
          <w:color w:val="000000"/>
          <w:sz w:val="26"/>
          <w:szCs w:val="27"/>
          <w:lang w:val="ru-RU"/>
        </w:rPr>
        <w:t xml:space="preserve">сельскохозяйственное использование (код 1.0);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 </w:t>
      </w:r>
      <w:r>
        <w:rPr>
          <w:rFonts w:cs="Times New Roman" w:eastAsia="Times New Roman"/>
          <w:b w:val="false"/>
          <w:bCs w:val="false"/>
          <w:color w:val="000000"/>
          <w:sz w:val="26"/>
          <w:szCs w:val="27"/>
          <w:lang w:val="ru-RU"/>
        </w:rPr>
        <w:t xml:space="preserve">питомники (код 1.17);</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3) </w:t>
      </w:r>
      <w:r>
        <w:rPr>
          <w:rFonts w:cs="Times New Roman" w:eastAsia="Times New Roman"/>
          <w:b w:val="false"/>
          <w:bCs w:val="false"/>
          <w:color w:val="000000"/>
          <w:sz w:val="26"/>
          <w:szCs w:val="27"/>
          <w:lang w:val="ru-RU"/>
        </w:rPr>
        <w:t xml:space="preserve">природно - познавательный туризм (код 5.2);</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4) </w:t>
      </w:r>
      <w:r>
        <w:rPr>
          <w:rFonts w:cs="Times New Roman" w:eastAsia="Times New Roman"/>
          <w:b w:val="false"/>
          <w:bCs w:val="false"/>
          <w:color w:val="000000"/>
          <w:sz w:val="26"/>
          <w:szCs w:val="27"/>
          <w:lang w:val="ru-RU"/>
        </w:rPr>
        <w:t xml:space="preserve">деятельность по особой охране и изучению природы (код 9.0);</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5) </w:t>
      </w:r>
      <w:r>
        <w:rPr>
          <w:rFonts w:cs="Times New Roman" w:eastAsia="Times New Roman"/>
          <w:b w:val="false"/>
          <w:bCs w:val="false"/>
          <w:color w:val="000000"/>
          <w:sz w:val="26"/>
          <w:szCs w:val="27"/>
          <w:lang w:val="ru-RU"/>
        </w:rPr>
        <w:t xml:space="preserve">охрана природных территорий (код 9.1);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6) </w:t>
      </w:r>
      <w:r>
        <w:rPr>
          <w:rFonts w:cs="Times New Roman" w:eastAsia="Times New Roman"/>
          <w:b w:val="false"/>
          <w:bCs w:val="false"/>
          <w:color w:val="000000"/>
          <w:sz w:val="26"/>
          <w:szCs w:val="27"/>
          <w:lang w:val="ru-RU"/>
        </w:rPr>
        <w:t xml:space="preserve">курортная деятельность (код 9.2);</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7) </w:t>
      </w:r>
      <w:r>
        <w:rPr>
          <w:rFonts w:cs="Times New Roman" w:eastAsia="Times New Roman"/>
          <w:b w:val="false"/>
          <w:bCs w:val="false"/>
          <w:color w:val="000000"/>
          <w:sz w:val="26"/>
          <w:szCs w:val="27"/>
          <w:lang w:val="ru-RU"/>
        </w:rPr>
        <w:t xml:space="preserve">санаторная деятельность (код 9.2.1);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8) </w:t>
      </w:r>
      <w:r>
        <w:rPr>
          <w:rFonts w:cs="Times New Roman" w:eastAsia="Times New Roman"/>
          <w:b w:val="false"/>
          <w:bCs w:val="false"/>
          <w:color w:val="000000"/>
          <w:sz w:val="26"/>
          <w:szCs w:val="27"/>
          <w:lang w:val="ru-RU"/>
        </w:rPr>
        <w:t xml:space="preserve">резервные леса (код 10.4);</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9) </w:t>
      </w:r>
      <w:r>
        <w:rPr>
          <w:rFonts w:cs="Times New Roman" w:eastAsia="Times New Roman"/>
          <w:b w:val="false"/>
          <w:bCs w:val="false"/>
          <w:color w:val="000000"/>
          <w:sz w:val="26"/>
          <w:szCs w:val="27"/>
          <w:lang w:val="ru-RU"/>
        </w:rPr>
        <w:t xml:space="preserve">общее пользование водными объектами (код 11.1);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10) </w:t>
      </w:r>
      <w:r>
        <w:rPr>
          <w:rFonts w:cs="Times New Roman" w:eastAsia="Times New Roman"/>
          <w:b w:val="false"/>
          <w:bCs w:val="false"/>
          <w:color w:val="000000"/>
          <w:sz w:val="26"/>
          <w:szCs w:val="27"/>
          <w:lang w:val="ru-RU"/>
        </w:rPr>
        <w:t xml:space="preserve">гидротехнические сооружения (код 11.3);</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11) </w:t>
      </w:r>
      <w:r>
        <w:rPr>
          <w:rFonts w:cs="Times New Roman" w:eastAsia="Times New Roman"/>
          <w:b w:val="false"/>
          <w:bCs w:val="false"/>
          <w:color w:val="000000"/>
          <w:sz w:val="26"/>
          <w:szCs w:val="27"/>
          <w:lang w:val="ru-RU"/>
        </w:rPr>
        <w:t xml:space="preserve">ведение огородничества (код 13.1);</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12) </w:t>
      </w:r>
      <w:r>
        <w:rPr>
          <w:rFonts w:cs="Times New Roman" w:eastAsia="Times New Roman"/>
          <w:b w:val="false"/>
          <w:bCs w:val="false"/>
          <w:color w:val="000000"/>
          <w:sz w:val="26"/>
          <w:szCs w:val="27"/>
          <w:lang w:val="ru-RU"/>
        </w:rPr>
        <w:t xml:space="preserve">ведение садоводства (код 13.2).</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3. </w:t>
      </w:r>
      <w:r>
        <w:rPr>
          <w:rFonts w:cs="Times New Roman" w:eastAsia="Times New Roman"/>
          <w:b w:val="false"/>
          <w:bCs w:val="false"/>
          <w:color w:val="000000"/>
          <w:sz w:val="26"/>
          <w:szCs w:val="27"/>
          <w:lang w:val="ru-RU"/>
        </w:rPr>
        <w:t xml:space="preserve">К категории низкого риска относятся все иные земельные участки, не отнесенные к категориям среднего или умеренного риска.</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r>
      <w:r>
        <w:rPr>
          <w:sz w:val="26"/>
        </w:rPr>
      </w:r>
      <w:r/>
    </w:p>
    <w:p>
      <w:pPr>
        <w:pStyle w:val="924"/>
        <w:ind w:left="0" w:right="0" w:firstLine="0"/>
        <w:jc w:val="right"/>
        <w:spacing w:lineRule="auto" w:line="240"/>
        <w:rPr>
          <w:sz w:val="26"/>
          <w:szCs w:val="27"/>
        </w:rPr>
      </w:pPr>
      <w:r>
        <w:rPr>
          <w:sz w:val="26"/>
          <w:szCs w:val="27"/>
        </w:rPr>
      </w:r>
      <w:r>
        <w:rPr>
          <w:sz w:val="26"/>
        </w:r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right"/>
        <w:spacing w:lineRule="auto" w:line="240"/>
      </w:pPr>
      <w:r/>
      <w:r/>
    </w:p>
    <w:p>
      <w:pPr>
        <w:pStyle w:val="924"/>
        <w:ind w:left="0" w:right="0" w:firstLine="0"/>
        <w:jc w:val="left"/>
        <w:spacing w:lineRule="auto" w:line="240"/>
      </w:pPr>
      <w:r/>
      <w:r/>
    </w:p>
    <w:p>
      <w:pPr>
        <w:pStyle w:val="924"/>
        <w:ind w:left="0" w:right="0" w:firstLine="0"/>
        <w:jc w:val="left"/>
        <w:spacing w:lineRule="auto" w:line="240"/>
      </w:pPr>
      <w:r/>
      <w:r/>
    </w:p>
    <w:p>
      <w:pPr>
        <w:pStyle w:val="924"/>
        <w:ind w:left="0" w:right="0" w:firstLine="0"/>
        <w:jc w:val="right"/>
        <w:spacing w:lineRule="auto" w:line="240"/>
      </w:pPr>
      <w:r/>
      <w:r/>
    </w:p>
    <w:tbl>
      <w:tblPr>
        <w:tblW w:w="9570" w:type="dxa"/>
        <w:tblInd w:w="0" w:type="dxa"/>
        <w:tblLayout w:type="fixed"/>
        <w:tblCellMar>
          <w:left w:w="108" w:type="dxa"/>
          <w:top w:w="0" w:type="dxa"/>
          <w:right w:w="108" w:type="dxa"/>
          <w:bottom w:w="0" w:type="dxa"/>
        </w:tblCellMar>
        <w:tblLook w:val="04A0" w:firstRow="1" w:lastRow="0" w:firstColumn="1" w:lastColumn="0" w:noHBand="0" w:noVBand="1"/>
      </w:tblPr>
      <w:tblGrid>
        <w:gridCol w:w="4077"/>
        <w:gridCol w:w="5493"/>
      </w:tblGrid>
      <w:tr>
        <w:trPr/>
        <w:tc>
          <w:tcPr>
            <w:tcW w:w="4077" w:type="dxa"/>
            <w:textDirection w:val="lrTb"/>
            <w:noWrap w:val="false"/>
          </w:tcPr>
          <w:p>
            <w:pPr>
              <w:pStyle w:val="924"/>
              <w:ind w:left="0" w:right="0" w:firstLine="0"/>
              <w:jc w:val="right"/>
              <w:spacing w:lineRule="auto" w:line="240" w:after="0" w:before="0"/>
              <w:rPr>
                <w:sz w:val="27"/>
                <w:szCs w:val="27"/>
              </w:rPr>
            </w:pPr>
            <w:r>
              <w:rPr>
                <w:sz w:val="27"/>
                <w:szCs w:val="27"/>
              </w:rPr>
            </w:r>
            <w:r/>
          </w:p>
        </w:tc>
        <w:tc>
          <w:tcPr>
            <w:tcW w:w="5493" w:type="dxa"/>
            <w:textDirection w:val="lrTb"/>
            <w:noWrap w:val="false"/>
          </w:tcPr>
          <w:p>
            <w:pPr>
              <w:pStyle w:val="924"/>
              <w:ind w:left="0" w:right="0" w:firstLine="0"/>
              <w:jc w:val="center"/>
              <w:spacing w:lineRule="auto" w:line="240" w:after="0" w:before="0"/>
              <w:rPr>
                <w:rFonts w:ascii="Times New Roman" w:hAnsi="Times New Roman" w:cs="Times New Roman" w:eastAsia="Times New Roman"/>
                <w:b/>
                <w:color w:val="000000"/>
                <w:sz w:val="26"/>
                <w:szCs w:val="27"/>
              </w:rPr>
            </w:pPr>
            <w:r>
              <w:rPr>
                <w:rFonts w:ascii="Times New Roman" w:hAnsi="Times New Roman" w:cs="Times New Roman" w:eastAsia="Times New Roman"/>
                <w:b/>
                <w:color w:val="000000"/>
                <w:sz w:val="26"/>
                <w:szCs w:val="27"/>
                <w:lang w:val="ru-RU"/>
              </w:rPr>
              <w:t xml:space="preserve">Приложение № 2</w:t>
            </w:r>
            <w:r>
              <w:rPr>
                <w:sz w:val="26"/>
              </w:rPr>
            </w:r>
            <w:r/>
          </w:p>
          <w:p>
            <w:pPr>
              <w:pStyle w:val="924"/>
              <w:ind w:left="0" w:right="0" w:firstLine="0"/>
              <w:jc w:val="center"/>
              <w:spacing w:lineRule="auto" w:line="240" w:after="0" w:before="0"/>
              <w:rPr>
                <w:rFonts w:ascii="Times New Roman" w:hAnsi="Times New Roman" w:cs="Times New Roman" w:eastAsia="Times New Roman"/>
                <w:b/>
                <w:color w:val="000000"/>
                <w:sz w:val="26"/>
                <w:szCs w:val="27"/>
                <w:lang w:val="ru-RU"/>
              </w:rPr>
            </w:pPr>
            <w:r>
              <w:rPr>
                <w:rFonts w:ascii="Times New Roman" w:hAnsi="Times New Roman" w:cs="Times New Roman" w:eastAsia="Times New Roman"/>
                <w:b/>
                <w:color w:val="000000"/>
                <w:sz w:val="26"/>
                <w:szCs w:val="27"/>
                <w:lang w:val="ru-RU"/>
              </w:rPr>
              <w:t xml:space="preserve">к Положению о муниципальном </w:t>
            </w:r>
            <w:r/>
          </w:p>
          <w:p>
            <w:pPr>
              <w:pStyle w:val="924"/>
              <w:ind w:left="0" w:right="0" w:firstLine="0"/>
              <w:jc w:val="center"/>
              <w:spacing w:lineRule="auto" w:line="240" w:after="0" w:before="0"/>
              <w:rPr>
                <w:rFonts w:ascii="Times New Roman" w:hAnsi="Times New Roman" w:cs="Times New Roman" w:eastAsia="Times New Roman"/>
                <w:b/>
                <w:color w:val="000000"/>
                <w:sz w:val="26"/>
                <w:szCs w:val="27"/>
              </w:rPr>
            </w:pPr>
            <w:r>
              <w:rPr>
                <w:rFonts w:ascii="Times New Roman" w:hAnsi="Times New Roman" w:cs="Times New Roman" w:eastAsia="Times New Roman"/>
                <w:b/>
                <w:color w:val="000000"/>
                <w:sz w:val="26"/>
                <w:szCs w:val="27"/>
                <w:lang w:val="ru-RU"/>
              </w:rPr>
              <w:t xml:space="preserve">земельном контроле в границах Новооскольского муниципального округа </w:t>
            </w:r>
            <w:r>
              <w:rPr>
                <w:rFonts w:ascii="Times New Roman" w:hAnsi="Times New Roman" w:cs="Times New Roman" w:eastAsia="Times New Roman"/>
                <w:b/>
                <w:color w:val="000000"/>
                <w:sz w:val="26"/>
                <w:szCs w:val="27"/>
                <w:lang w:val="ru-RU"/>
              </w:rPr>
              <w:t xml:space="preserve">Белгородской области</w:t>
            </w:r>
            <w:r>
              <w:rPr>
                <w:sz w:val="26"/>
              </w:rPr>
            </w:r>
            <w:r/>
          </w:p>
          <w:p>
            <w:pPr>
              <w:pStyle w:val="924"/>
              <w:ind w:left="0" w:right="0" w:firstLine="0"/>
              <w:jc w:val="center"/>
              <w:spacing w:lineRule="auto" w:line="240" w:after="0" w:before="0"/>
              <w:rPr>
                <w:sz w:val="26"/>
                <w:szCs w:val="27"/>
              </w:rPr>
            </w:pPr>
            <w:r>
              <w:rPr>
                <w:sz w:val="26"/>
                <w:szCs w:val="27"/>
              </w:rPr>
            </w:r>
            <w:r>
              <w:rPr>
                <w:sz w:val="26"/>
              </w:rPr>
            </w:r>
            <w:r/>
          </w:p>
        </w:tc>
      </w:tr>
    </w:tbl>
    <w:p>
      <w:pPr>
        <w:pStyle w:val="919"/>
        <w:jc w:val="center"/>
        <w:spacing w:lineRule="auto" w:line="240"/>
        <w:rPr>
          <w:sz w:val="27"/>
          <w:szCs w:val="27"/>
        </w:rPr>
      </w:pPr>
      <w:r>
        <w:rPr>
          <w:sz w:val="27"/>
          <w:szCs w:val="27"/>
        </w:rPr>
      </w:r>
      <w:r/>
    </w:p>
    <w:p>
      <w:pPr>
        <w:pStyle w:val="919"/>
        <w:jc w:val="center"/>
        <w:spacing w:lineRule="auto" w:line="240"/>
        <w:rPr>
          <w:rFonts w:ascii="Times New Roman" w:hAnsi="Times New Roman" w:cs="Times New Roman"/>
          <w:color w:val="000000"/>
          <w:sz w:val="26"/>
        </w:rPr>
      </w:pPr>
      <w:r>
        <w:rPr>
          <w:rFonts w:ascii="Times New Roman" w:hAnsi="Times New Roman" w:cs="Times New Roman"/>
          <w:color w:val="000000"/>
          <w:sz w:val="26"/>
          <w:szCs w:val="27"/>
        </w:rPr>
        <w:t xml:space="preserve">Индикаторы риска нарушения обязательных требований, используемые для определения необходимости проведения внеплановых</w:t>
      </w:r>
      <w:r>
        <w:rPr>
          <w:sz w:val="26"/>
        </w:rPr>
      </w:r>
      <w:r/>
    </w:p>
    <w:p>
      <w:pPr>
        <w:pStyle w:val="919"/>
        <w:jc w:val="center"/>
        <w:spacing w:lineRule="auto" w:line="240"/>
        <w:rPr>
          <w:rFonts w:ascii="Times New Roman" w:hAnsi="Times New Roman" w:cs="Times New Roman"/>
          <w:color w:val="000000"/>
          <w:sz w:val="26"/>
        </w:rPr>
      </w:pPr>
      <w:r>
        <w:rPr>
          <w:rFonts w:ascii="Times New Roman" w:hAnsi="Times New Roman" w:cs="Times New Roman"/>
          <w:color w:val="000000"/>
          <w:sz w:val="26"/>
          <w:szCs w:val="27"/>
        </w:rPr>
        <w:t xml:space="preserve">проверок при осуществлении администрацией Новооскольского </w:t>
      </w:r>
      <w:r>
        <w:rPr>
          <w:sz w:val="26"/>
        </w:rPr>
      </w:r>
      <w:r/>
    </w:p>
    <w:p>
      <w:pPr>
        <w:pStyle w:val="919"/>
        <w:jc w:val="center"/>
        <w:spacing w:lineRule="auto" w:line="240"/>
        <w:rPr>
          <w:rFonts w:ascii="Times New Roman" w:hAnsi="Times New Roman" w:cs="Times New Roman"/>
          <w:b w:val="false"/>
          <w:color w:val="000000"/>
          <w:sz w:val="26"/>
        </w:rPr>
      </w:pPr>
      <w:r>
        <w:rPr>
          <w:rFonts w:ascii="Times New Roman" w:hAnsi="Times New Roman" w:cs="Times New Roman"/>
          <w:color w:val="000000"/>
          <w:sz w:val="26"/>
          <w:szCs w:val="27"/>
        </w:rPr>
        <w:t xml:space="preserve">муниципального округа муниципального земельного контроля</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color w:val="000000"/>
          <w:sz w:val="26"/>
          <w:szCs w:val="27"/>
        </w:rPr>
      </w:pPr>
      <w:r>
        <w:rPr>
          <w:sz w:val="26"/>
        </w:rPr>
      </w:r>
      <w:r>
        <w:rPr>
          <w:sz w:val="26"/>
        </w:rPr>
      </w:r>
      <w:r/>
    </w:p>
    <w:p>
      <w:pPr>
        <w:pStyle w:val="894"/>
        <w:numPr>
          <w:ilvl w:val="0"/>
          <w:numId w:val="0"/>
        </w:numPr>
        <w:ind w:left="0" w:right="0" w:firstLine="0"/>
        <w:spacing w:lineRule="auto" w:line="240" w:after="0" w:before="0"/>
        <w:rPr>
          <w:sz w:val="26"/>
        </w:rPr>
      </w:pPr>
      <w:r>
        <w:rPr>
          <w:sz w:val="26"/>
        </w:rPr>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1. </w:t>
      </w:r>
      <w:r>
        <w:rPr>
          <w:rFonts w:cs="Times New Roman" w:eastAsia="Times New Roman"/>
          <w:b w:val="false"/>
          <w:bCs w:val="false"/>
          <w:color w:val="000000"/>
          <w:sz w:val="26"/>
          <w:szCs w:val="27"/>
          <w:lang w:val="ru-RU"/>
        </w:rPr>
        <w:t xml:space="preserve">Полученная информация об использовани</w:t>
      </w:r>
      <w:r>
        <w:rPr>
          <w:rFonts w:cs="Times New Roman" w:eastAsia="Times New Roman"/>
          <w:b w:val="false"/>
          <w:bCs w:val="false"/>
          <w:color w:val="000000"/>
          <w:sz w:val="26"/>
          <w:szCs w:val="27"/>
          <w:lang w:val="ru-RU"/>
        </w:rPr>
        <w:t xml:space="preserve">и гражданином, юридическим лицом, индивидуальным предпринимателем земельного участка, без правоустанавливающих документов, в результате проведения мероприятий по контролю без взаимодействия с гражданином, юридическим лицом, индивидуальным предпринимателем.</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2. </w:t>
      </w:r>
      <w:r>
        <w:rPr>
          <w:rFonts w:cs="Times New Roman" w:eastAsia="Times New Roman"/>
          <w:b w:val="false"/>
          <w:bCs w:val="false"/>
          <w:color w:val="000000"/>
          <w:sz w:val="26"/>
          <w:szCs w:val="27"/>
          <w:lang w:val="ru-RU"/>
        </w:rPr>
        <w:t xml:space="preserve">Обнаружение отклонения местоположения характерной точки границы земельного участка, определенное в результате проведения мероприятий по контролю без взаимодействия с гражданином, юридическим лицом, индивидуальным предпринимателем, относительн</w:t>
      </w:r>
      <w:r>
        <w:rPr>
          <w:rFonts w:cs="Times New Roman" w:eastAsia="Times New Roman"/>
          <w:b w:val="false"/>
          <w:bCs w:val="false"/>
          <w:color w:val="000000"/>
          <w:sz w:val="26"/>
          <w:szCs w:val="27"/>
          <w:lang w:val="ru-RU"/>
        </w:rPr>
        <w:t xml:space="preserve">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координат характерных точек границ земельных участков, установленное приказом Росреестра от 23 </w:t>
      </w:r>
      <w:r>
        <w:rPr>
          <w:rFonts w:cs="Times New Roman" w:eastAsia="Times New Roman"/>
          <w:b w:val="false"/>
          <w:bCs w:val="false"/>
          <w:color w:val="000000"/>
          <w:sz w:val="26"/>
          <w:szCs w:val="27"/>
          <w:lang w:val="ru-RU"/>
        </w:rPr>
        <w:t xml:space="preserve">октября</w:t>
      </w:r>
      <w:r>
        <w:rPr>
          <w:rFonts w:cs="Times New Roman" w:eastAsia="Times New Roman"/>
          <w:b w:val="false"/>
          <w:bCs w:val="false"/>
          <w:color w:val="000000"/>
          <w:sz w:val="26"/>
          <w:szCs w:val="27"/>
          <w:lang w:val="ru-RU"/>
        </w:rPr>
        <w:t xml:space="preserve"> 2020 г</w:t>
      </w:r>
      <w:r>
        <w:rPr>
          <w:rFonts w:cs="Times New Roman" w:eastAsia="Times New Roman"/>
          <w:b w:val="false"/>
          <w:bCs w:val="false"/>
          <w:color w:val="000000"/>
          <w:sz w:val="26"/>
          <w:szCs w:val="27"/>
          <w:lang w:val="ru-RU"/>
        </w:rPr>
        <w:t xml:space="preserve">ода</w:t>
      </w:r>
      <w:r>
        <w:rPr>
          <w:rFonts w:cs="Times New Roman" w:eastAsia="Times New Roman"/>
          <w:b w:val="false"/>
          <w:bCs w:val="false"/>
          <w:color w:val="000000"/>
          <w:sz w:val="26"/>
          <w:szCs w:val="27"/>
          <w:lang w:val="ru-RU"/>
        </w:rPr>
        <w:t xml:space="preserve"> </w:t>
      </w:r>
      <w:r>
        <w:rPr>
          <w:rFonts w:cs="Times New Roman" w:eastAsia="Times New Roman"/>
          <w:b w:val="false"/>
          <w:bCs w:val="false"/>
          <w:color w:val="000000"/>
          <w:sz w:val="26"/>
          <w:szCs w:val="27"/>
          <w:lang w:val="ru-RU"/>
        </w:rPr>
        <w:t xml:space="preserve">     № </w:t>
      </w:r>
      <w:r>
        <w:rPr>
          <w:rFonts w:cs="Times New Roman" w:eastAsia="Times New Roman"/>
          <w:b w:val="false"/>
          <w:bCs w:val="false"/>
          <w:color w:val="000000"/>
          <w:sz w:val="26"/>
          <w:szCs w:val="27"/>
          <w:lang w:val="ru-RU"/>
        </w:rPr>
        <w:t xml:space="preserve">П/0393 «Об утверждении требований к точности и методам определения координат характерных точек границ земельного уча</w:t>
      </w:r>
      <w:r>
        <w:rPr>
          <w:rFonts w:cs="Times New Roman" w:eastAsia="Times New Roman"/>
          <w:b w:val="false"/>
          <w:bCs w:val="false"/>
          <w:color w:val="000000"/>
          <w:sz w:val="26"/>
          <w:szCs w:val="27"/>
          <w:lang w:val="ru-RU"/>
        </w:rPr>
        <w:t xml:space="preserve">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 – места».</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3. </w:t>
      </w:r>
      <w:r>
        <w:rPr>
          <w:rFonts w:cs="Times New Roman" w:eastAsia="Times New Roman"/>
          <w:b w:val="false"/>
          <w:bCs w:val="false"/>
          <w:color w:val="000000"/>
          <w:sz w:val="26"/>
          <w:szCs w:val="27"/>
          <w:lang w:val="ru-RU"/>
        </w:rPr>
        <w:t xml:space="preserve">Выявленная возможность использования (не подтвержденная</w:t>
      </w:r>
      <w:r>
        <w:rPr>
          <w:rFonts w:cs="Times New Roman" w:eastAsia="Times New Roman"/>
          <w:b w:val="false"/>
          <w:bCs w:val="false"/>
          <w:color w:val="000000"/>
          <w:sz w:val="26"/>
          <w:szCs w:val="27"/>
          <w:lang w:val="ru-RU"/>
        </w:rPr>
        <w:t xml:space="preserve"> соответствующими документами) гражданином, юридическим лицом, индивидуальным предпринимателем земельного участка, информация по которой получена в результате проведения мероприятий по контролю без взаимодействия с гражданином, юридическим лицом, индивидуа</w:t>
      </w:r>
      <w:r>
        <w:rPr>
          <w:rFonts w:cs="Times New Roman" w:eastAsia="Times New Roman"/>
          <w:b w:val="false"/>
          <w:bCs w:val="false"/>
          <w:color w:val="000000"/>
          <w:sz w:val="26"/>
          <w:szCs w:val="27"/>
          <w:lang w:val="ru-RU"/>
        </w:rPr>
        <w:t xml:space="preserve">льным предпринимателем, не по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4. </w:t>
      </w:r>
      <w:r>
        <w:rPr>
          <w:rFonts w:cs="Times New Roman" w:eastAsia="Times New Roman"/>
          <w:b w:val="false"/>
          <w:bCs w:val="false"/>
          <w:color w:val="000000"/>
          <w:sz w:val="26"/>
          <w:szCs w:val="27"/>
          <w:lang w:val="ru-RU"/>
        </w:rPr>
        <w:t xml:space="preserve">Полученная информация об отсутствии объектов капитального строительства, ведении стр</w:t>
      </w:r>
      <w:r>
        <w:rPr>
          <w:rFonts w:cs="Times New Roman" w:eastAsia="Times New Roman"/>
          <w:b w:val="false"/>
          <w:bCs w:val="false"/>
          <w:color w:val="000000"/>
          <w:sz w:val="26"/>
          <w:szCs w:val="27"/>
          <w:lang w:val="ru-RU"/>
        </w:rPr>
        <w:t xml:space="preserve">о</w:t>
      </w:r>
      <w:r>
        <w:rPr>
          <w:rFonts w:cs="Times New Roman" w:eastAsia="Times New Roman"/>
          <w:b w:val="false"/>
          <w:bCs w:val="false"/>
          <w:color w:val="000000"/>
          <w:sz w:val="26"/>
          <w:szCs w:val="27"/>
          <w:lang w:val="ru-RU"/>
        </w:rPr>
        <w:t xml:space="preserve">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результатам проведения мероприятий по контролю без взаимодействия с гражданином, юридическим лицом, </w:t>
      </w:r>
      <w:r>
        <w:rPr>
          <w:rFonts w:cs="Times New Roman" w:eastAsia="Times New Roman"/>
          <w:b w:val="false"/>
          <w:bCs w:val="false"/>
          <w:color w:val="000000"/>
          <w:sz w:val="26"/>
          <w:szCs w:val="27"/>
          <w:lang w:val="ru-RU"/>
        </w:rPr>
        <w:t xml:space="preserve">индивидуальным предпринимателем, в случае наличия обязанности по использованию такого земельного участка в течение установленного срока закрепленного федеральным законом.</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5. </w:t>
      </w:r>
      <w:r>
        <w:rPr>
          <w:rFonts w:cs="Times New Roman" w:eastAsia="Times New Roman"/>
          <w:b w:val="false"/>
          <w:bCs w:val="false"/>
          <w:color w:val="000000"/>
          <w:sz w:val="26"/>
          <w:szCs w:val="27"/>
          <w:lang w:val="ru-RU"/>
        </w:rPr>
        <w:t xml:space="preserve">Полученная информация о зарастании сорной растительностью и (или) древесно-кустарниковой растительность</w:t>
      </w:r>
      <w:r>
        <w:rPr>
          <w:rFonts w:cs="Times New Roman" w:eastAsia="Times New Roman"/>
          <w:b w:val="false"/>
          <w:bCs w:val="false"/>
          <w:color w:val="000000"/>
          <w:sz w:val="26"/>
          <w:szCs w:val="27"/>
          <w:lang w:val="ru-RU"/>
        </w:rPr>
        <w:t xml:space="preserve">ю, не относящейся к многолетним плодово-ягодным насаждениям, за исключением мелиоративных защитных лесных насаждений и лесов, расположенных на землях сельскохозяйственного назначения в соответствии с постановлением Правительства Российской Федерации от 21 </w:t>
      </w:r>
      <w:r>
        <w:rPr>
          <w:rFonts w:cs="Times New Roman" w:eastAsia="Times New Roman"/>
          <w:b w:val="false"/>
          <w:bCs w:val="false"/>
          <w:color w:val="000000"/>
          <w:sz w:val="26"/>
          <w:szCs w:val="27"/>
          <w:lang w:val="ru-RU"/>
        </w:rPr>
        <w:t xml:space="preserve">сентября</w:t>
      </w:r>
      <w:r>
        <w:rPr>
          <w:rFonts w:cs="Times New Roman" w:eastAsia="Times New Roman"/>
          <w:b w:val="false"/>
          <w:bCs w:val="false"/>
          <w:color w:val="000000"/>
          <w:sz w:val="26"/>
          <w:szCs w:val="27"/>
          <w:lang w:val="ru-RU"/>
        </w:rPr>
        <w:t xml:space="preserve"> 2020 г</w:t>
      </w:r>
      <w:r>
        <w:rPr>
          <w:rFonts w:cs="Times New Roman" w:eastAsia="Times New Roman"/>
          <w:b w:val="false"/>
          <w:bCs w:val="false"/>
          <w:color w:val="000000"/>
          <w:sz w:val="26"/>
          <w:szCs w:val="27"/>
          <w:lang w:val="ru-RU"/>
        </w:rPr>
        <w:t xml:space="preserve">ода</w:t>
      </w:r>
      <w:r>
        <w:rPr>
          <w:rFonts w:cs="Times New Roman" w:eastAsia="Times New Roman"/>
          <w:b w:val="false"/>
          <w:bCs w:val="false"/>
          <w:color w:val="000000"/>
          <w:sz w:val="26"/>
          <w:szCs w:val="27"/>
          <w:lang w:val="ru-RU"/>
        </w:rPr>
        <w:t xml:space="preserve"> </w:t>
      </w:r>
      <w:r>
        <w:rPr>
          <w:rFonts w:cs="Times New Roman" w:eastAsia="Times New Roman"/>
          <w:b w:val="false"/>
          <w:bCs w:val="false"/>
          <w:color w:val="000000"/>
          <w:sz w:val="26"/>
          <w:szCs w:val="27"/>
          <w:lang w:val="ru-RU"/>
        </w:rPr>
        <w:t xml:space="preserve">№ </w:t>
      </w:r>
      <w:r>
        <w:rPr>
          <w:rFonts w:cs="Times New Roman" w:eastAsia="Times New Roman"/>
          <w:b w:val="false"/>
          <w:bCs w:val="false"/>
          <w:color w:val="000000"/>
          <w:sz w:val="26"/>
          <w:szCs w:val="27"/>
          <w:lang w:val="ru-RU"/>
        </w:rPr>
        <w:t xml:space="preserve">1509 «Об осо</w:t>
      </w:r>
      <w:r>
        <w:rPr>
          <w:rFonts w:cs="Times New Roman" w:eastAsia="Times New Roman"/>
          <w:b w:val="false"/>
          <w:bCs w:val="false"/>
          <w:color w:val="000000"/>
          <w:sz w:val="26"/>
          <w:szCs w:val="27"/>
          <w:lang w:val="ru-RU"/>
        </w:rPr>
        <w:t xml:space="preserve">бенностях использования, охраны, защиты, воспроизводства лесов, расположенных на землях сельскохозяйственного назначения», в результате проведения мероприятий по контролю без взаимодействия с гражданином, юридическим лицом, индивидуальным предпринимателем.</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6. </w:t>
      </w:r>
      <w:r>
        <w:rPr>
          <w:rFonts w:cs="Times New Roman" w:eastAsia="Times New Roman"/>
          <w:b w:val="false"/>
          <w:bCs w:val="false"/>
          <w:color w:val="000000"/>
          <w:sz w:val="26"/>
          <w:szCs w:val="27"/>
          <w:lang w:val="ru-RU"/>
        </w:rPr>
        <w:t xml:space="preserve">Полученная информация о признаках негативных процессов (водная и ветровая эрозии, сели, подтопление, заболачивание, засоление, иссуше</w:t>
      </w:r>
      <w:r>
        <w:rPr>
          <w:rFonts w:cs="Times New Roman" w:eastAsia="Times New Roman"/>
          <w:b w:val="false"/>
          <w:bCs w:val="false"/>
          <w:color w:val="000000"/>
          <w:sz w:val="26"/>
          <w:szCs w:val="27"/>
          <w:lang w:val="ru-RU"/>
        </w:rPr>
        <w:t xml:space="preserve">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 не подтвержденная соответствующими документами и (или) экспертизами, на земельном участке</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 xml:space="preserve">или его части и явлений, влияющих на состояние земель сельскохозяйственного назначения и уровень плодородия почвы, в результате проведения мероприятий по контролю без взаимодействия с гражданином, юридическим лицом, индивидуальным предпринимателем.</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7. </w:t>
      </w:r>
      <w:r>
        <w:rPr>
          <w:rFonts w:cs="Times New Roman" w:eastAsia="Times New Roman"/>
          <w:b w:val="false"/>
          <w:bCs w:val="false"/>
          <w:color w:val="000000"/>
          <w:sz w:val="26"/>
          <w:szCs w:val="27"/>
          <w:lang w:val="ru-RU"/>
        </w:rPr>
        <w:t xml:space="preserve">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 оборот которых регулируется Федеральным законом от 24 </w:t>
      </w:r>
      <w:r>
        <w:rPr>
          <w:rFonts w:cs="Times New Roman" w:eastAsia="Times New Roman"/>
          <w:b w:val="false"/>
          <w:bCs w:val="false"/>
          <w:color w:val="000000"/>
          <w:sz w:val="26"/>
          <w:szCs w:val="27"/>
          <w:lang w:val="ru-RU"/>
        </w:rPr>
        <w:t xml:space="preserve">июля </w:t>
      </w:r>
      <w:r>
        <w:rPr>
          <w:rFonts w:cs="Times New Roman" w:eastAsia="Times New Roman"/>
          <w:b w:val="false"/>
          <w:bCs w:val="false"/>
          <w:color w:val="000000"/>
          <w:sz w:val="26"/>
          <w:szCs w:val="27"/>
          <w:lang w:val="ru-RU"/>
        </w:rPr>
        <w:t xml:space="preserve">2002 г</w:t>
      </w:r>
      <w:r>
        <w:rPr>
          <w:rFonts w:cs="Times New Roman" w:eastAsia="Times New Roman"/>
          <w:b w:val="false"/>
          <w:bCs w:val="false"/>
          <w:color w:val="000000"/>
          <w:sz w:val="26"/>
          <w:szCs w:val="27"/>
          <w:lang w:val="ru-RU"/>
        </w:rPr>
        <w:t xml:space="preserve">ода № </w:t>
      </w:r>
      <w:r>
        <w:rPr>
          <w:rFonts w:cs="Times New Roman" w:eastAsia="Times New Roman"/>
          <w:b w:val="false"/>
          <w:bCs w:val="false"/>
          <w:color w:val="000000"/>
          <w:sz w:val="26"/>
          <w:szCs w:val="27"/>
          <w:lang w:val="ru-RU"/>
        </w:rPr>
        <w:t xml:space="preserve">101-ФЗ «Об обороте земель сельскохозяйственного назначения», по истечении одного года с мом</w:t>
      </w:r>
      <w:r>
        <w:rPr>
          <w:rFonts w:cs="Times New Roman" w:eastAsia="Times New Roman"/>
          <w:b w:val="false"/>
          <w:bCs w:val="false"/>
          <w:color w:val="000000"/>
          <w:sz w:val="26"/>
          <w:szCs w:val="27"/>
          <w:lang w:val="ru-RU"/>
        </w:rPr>
        <w:t xml:space="preserve">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w:t>
      </w:r>
      <w:r>
        <w:rPr>
          <w:sz w:val="26"/>
        </w:rPr>
      </w:r>
      <w:r/>
    </w:p>
    <w:p>
      <w:pPr>
        <w:pStyle w:val="894"/>
        <w:numPr>
          <w:ilvl w:val="0"/>
          <w:numId w:val="0"/>
        </w:numPr>
        <w:ind w:left="0" w:right="0" w:firstLine="0"/>
        <w:spacing w:lineRule="auto" w:line="240" w:after="0" w:before="0"/>
        <w:rPr>
          <w:rFonts w:ascii="Times New Roman" w:hAnsi="Times New Roman" w:cs="Times New Roman" w:eastAsia="Times New Roman"/>
          <w:b w:val="false"/>
          <w:bCs w:val="false"/>
          <w:color w:val="000000"/>
          <w:sz w:val="26"/>
          <w:szCs w:val="27"/>
        </w:rPr>
      </w:pPr>
      <w:r>
        <w:rPr>
          <w:rFonts w:cs="Times New Roman" w:eastAsia="Times New Roman"/>
          <w:b w:val="false"/>
          <w:bCs w:val="false"/>
          <w:color w:val="000000"/>
          <w:sz w:val="26"/>
          <w:szCs w:val="27"/>
          <w:lang w:val="ru-RU"/>
        </w:rPr>
        <w:tab/>
        <w:t xml:space="preserve">8. </w:t>
      </w:r>
      <w:r>
        <w:rPr>
          <w:rFonts w:cs="Times New Roman" w:eastAsia="Times New Roman"/>
          <w:b w:val="false"/>
          <w:bCs w:val="false"/>
          <w:color w:val="000000"/>
          <w:sz w:val="26"/>
          <w:szCs w:val="27"/>
          <w:lang w:val="ru-RU"/>
        </w:rPr>
        <w:t xml:space="preserve">Наличие информации о возможном расположении специализированной техники, используемой для снятия и (или) перемещения пло</w:t>
      </w:r>
      <w:r>
        <w:rPr>
          <w:rFonts w:cs="Times New Roman" w:eastAsia="Times New Roman"/>
          <w:b w:val="false"/>
          <w:bCs w:val="false"/>
          <w:color w:val="000000"/>
          <w:sz w:val="26"/>
          <w:szCs w:val="27"/>
          <w:lang w:val="ru-RU"/>
        </w:rPr>
        <w:t xml:space="preserve">дородного слоя почвы, подтверждающие признаки самовольного снятия, перемещения и уничтожения почвы на участках земель сельскохозяйственного назначения, на участках земель, сформированных на территориях населенных пунктов, на участках земель иных категорий.</w:t>
      </w:r>
      <w:r>
        <w:rPr>
          <w:sz w:val="26"/>
        </w:rPr>
      </w:r>
      <w:r/>
    </w:p>
    <w:p>
      <w:pPr>
        <w:pStyle w:val="894"/>
        <w:numPr>
          <w:ilvl w:val="0"/>
          <w:numId w:val="0"/>
        </w:numPr>
        <w:ind w:left="0" w:right="0" w:firstLine="0"/>
        <w:jc w:val="both"/>
        <w:spacing w:lineRule="auto" w:line="240" w:after="0" w:before="79"/>
        <w:rPr>
          <w:rFonts w:ascii="Times New Roman" w:hAnsi="Times New Roman" w:cs="Times New Roman" w:eastAsia="Times New Roman"/>
          <w:color w:val="000000"/>
          <w:sz w:val="27"/>
          <w:szCs w:val="27"/>
          <w:lang w:val="ru-RU"/>
        </w:rPr>
      </w:pPr>
      <w:r>
        <w:rPr>
          <w:rFonts w:cs="Times New Roman" w:eastAsia="Times New Roman"/>
          <w:color w:val="000000"/>
          <w:sz w:val="27"/>
          <w:szCs w:val="27"/>
          <w:lang w:val="ru-RU"/>
        </w:rPr>
      </w:r>
      <w:r/>
    </w:p>
    <w:sectPr>
      <w:headerReference w:type="default" r:id="rId9"/>
      <w:headerReference w:type="first" r:id="rId10"/>
      <w:footnotePr/>
      <w:endnotePr/>
      <w:type w:val="nextPage"/>
      <w:pgSz w:w="11906" w:h="16838" w:orient="portrait"/>
      <w:pgMar w:top="567" w:right="567" w:bottom="595" w:left="1701" w:header="1134" w:footer="0" w:gutter="0"/>
      <w:cols w:num="1" w:sep="0" w:space="1701"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Droid Sans Fallback">
    <w:panose1 w:val="020B0502000000000001"/>
  </w:font>
  <w:font w:name="droid sans devanagari">
    <w:panose1 w:val="02000603000000000000"/>
  </w:font>
  <w:font w:name="Liberation Mono">
    <w:panose1 w:val="02070409020205020404"/>
  </w:font>
  <w:font w:name="Calibri">
    <w:panose1 w:val="020F0502020204030204"/>
  </w:font>
  <w:font w:name="Noto Sans Devanagari">
    <w:panose1 w:val="020B0502040504020204"/>
  </w:font>
  <w:font w:name="Courier New">
    <w:panose1 w:val="02070409020205020404"/>
  </w:font>
  <w:font w:name="OpenSymbol">
    <w:panose1 w:val="05010000000000000000"/>
  </w:font>
  <w:font w:name="Tahoma">
    <w:panose1 w:val="020B0604030504040204"/>
  </w:font>
  <w:font w:name="Times New Roman">
    <w:panose1 w:val="02020603050405020304"/>
  </w:font>
  <w:font w:name="PT Astra Serif">
    <w:panose1 w:val="020A0603040505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jc w:val="center"/>
    </w:pPr>
    <w:r>
      <w:fldChar w:fldCharType="begin"/>
    </w:r>
    <w:r>
      <w:instrText xml:space="preserve"> PAGE </w:instrText>
    </w:r>
    <w:r>
      <w:fldChar w:fldCharType="separate"/>
    </w:r>
    <w:r>
      <w:t xml:space="preserve">33</w:t>
    </w:r>
    <w:r>
      <w:fldChar w:fldCharType="end"/>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none"/>
      <w:isLgl w:val="false"/>
      <w:suff w:val="nothing"/>
      <w:lvlText w:val="%1"/>
      <w:lvlJc w:val="left"/>
      <w:pPr>
        <w:ind w:left="0" w:firstLine="0"/>
        <w:tabs>
          <w:tab w:val="num" w:pos="0" w:leader="none"/>
        </w:tabs>
      </w:pPr>
    </w:lvl>
    <w:lvl w:ilvl="1">
      <w:start w:val="1"/>
      <w:numFmt w:val="none"/>
      <w:isLgl w:val="false"/>
      <w:suff w:val="nothing"/>
      <w:lvlText w:val="%2"/>
      <w:lvlJc w:val="left"/>
      <w:pPr>
        <w:ind w:left="0" w:firstLine="0"/>
        <w:tabs>
          <w:tab w:val="num" w:pos="0" w:leader="none"/>
        </w:tabs>
      </w:pPr>
    </w:lvl>
    <w:lvl w:ilvl="2">
      <w:start w:val="1"/>
      <w:numFmt w:val="none"/>
      <w:isLgl w:val="false"/>
      <w:suff w:val="nothing"/>
      <w:lvlText w:val="%3"/>
      <w:lvlJc w:val="left"/>
      <w:pPr>
        <w:ind w:left="0" w:firstLine="0"/>
        <w:tabs>
          <w:tab w:val="num" w:pos="0" w:leader="none"/>
        </w:tabs>
      </w:pPr>
    </w:lvl>
    <w:lvl w:ilvl="3">
      <w:start w:val="1"/>
      <w:numFmt w:val="none"/>
      <w:isLgl w:val="false"/>
      <w:suff w:val="nothing"/>
      <w:lvlText w:val="%4"/>
      <w:lvlJc w:val="left"/>
      <w:pPr>
        <w:ind w:left="0" w:firstLine="0"/>
        <w:tabs>
          <w:tab w:val="num" w:pos="0" w:leader="none"/>
        </w:tabs>
      </w:pPr>
    </w:lvl>
    <w:lvl w:ilvl="4">
      <w:start w:val="1"/>
      <w:numFmt w:val="none"/>
      <w:isLgl w:val="false"/>
      <w:suff w:val="nothing"/>
      <w:lvlText w:val="%5"/>
      <w:lvlJc w:val="left"/>
      <w:pPr>
        <w:ind w:left="0" w:firstLine="0"/>
        <w:tabs>
          <w:tab w:val="num" w:pos="0" w:leader="none"/>
        </w:tabs>
      </w:pPr>
    </w:lvl>
    <w:lvl w:ilvl="5">
      <w:start w:val="1"/>
      <w:numFmt w:val="none"/>
      <w:isLgl w:val="false"/>
      <w:suff w:val="nothing"/>
      <w:lvlText w:val="%6"/>
      <w:lvlJc w:val="left"/>
      <w:pPr>
        <w:ind w:left="0" w:firstLine="0"/>
        <w:tabs>
          <w:tab w:val="num" w:pos="0" w:leader="none"/>
        </w:tabs>
      </w:pPr>
    </w:lvl>
    <w:lvl w:ilvl="6">
      <w:start w:val="1"/>
      <w:numFmt w:val="none"/>
      <w:isLgl w:val="false"/>
      <w:suff w:val="nothing"/>
      <w:lvlText w:val="%7"/>
      <w:lvlJc w:val="left"/>
      <w:pPr>
        <w:ind w:left="0" w:firstLine="0"/>
        <w:tabs>
          <w:tab w:val="num" w:pos="0" w:leader="none"/>
        </w:tabs>
      </w:pPr>
    </w:lvl>
    <w:lvl w:ilvl="7">
      <w:start w:val="1"/>
      <w:numFmt w:val="none"/>
      <w:isLgl w:val="false"/>
      <w:suff w:val="nothing"/>
      <w:lvlText w:val="%8"/>
      <w:lvlJc w:val="left"/>
      <w:pPr>
        <w:ind w:left="0" w:firstLine="0"/>
        <w:tabs>
          <w:tab w:val="num" w:pos="0" w:leader="none"/>
        </w:tabs>
      </w:pPr>
    </w:lvl>
    <w:lvl w:ilvl="8">
      <w:start w:val="1"/>
      <w:numFmt w:val="none"/>
      <w:isLgl w:val="false"/>
      <w:suff w:val="nothing"/>
      <w:lvlText w:val="%9"/>
      <w:lvlJc w:val="left"/>
      <w:pPr>
        <w:ind w:left="0" w:firstLine="0"/>
        <w:tabs>
          <w:tab w:val="num" w:pos="0" w:leader="none"/>
        </w:tabs>
      </w:pPr>
    </w:lvl>
  </w:abstractNum>
  <w:abstractNum w:abstractNumId="1">
    <w:multiLevelType w:val="hybridMultilevel"/>
    <w:lvl w:ilvl="0">
      <w:start w:val="1"/>
      <w:numFmt w:val="bullet"/>
      <w:isLgl w:val="false"/>
      <w:suff w:val="tab"/>
      <w:lvlText w:val=""/>
      <w:lvlJc w:val="left"/>
      <w:pPr>
        <w:ind w:left="0" w:firstLine="0"/>
        <w:tabs>
          <w:tab w:val="num" w:pos="0" w:leader="none"/>
        </w:tabs>
      </w:pPr>
      <w:rPr>
        <w:rFonts w:ascii="Symbol" w:hAnsi="Symbol" w:cs="Symbol" w:hint="default"/>
      </w:rPr>
    </w:lvl>
    <w:lvl w:ilvl="1">
      <w:start w:val="1"/>
      <w:numFmt w:val="bullet"/>
      <w:isLgl w:val="false"/>
      <w:suff w:val="tab"/>
      <w:lvlText w:val=""/>
      <w:lvlJc w:val="left"/>
      <w:pPr>
        <w:ind w:left="0" w:firstLine="0"/>
        <w:tabs>
          <w:tab w:val="num" w:pos="0" w:leader="none"/>
        </w:tabs>
      </w:pPr>
      <w:rPr>
        <w:rFonts w:ascii="Symbol" w:hAnsi="Symbol" w:cs="Symbol" w:hint="default"/>
      </w:rPr>
    </w:lvl>
    <w:lvl w:ilvl="2">
      <w:start w:val="1"/>
      <w:numFmt w:val="bullet"/>
      <w:isLgl w:val="false"/>
      <w:suff w:val="tab"/>
      <w:lvlText w:val=""/>
      <w:lvlJc w:val="left"/>
      <w:pPr>
        <w:ind w:left="0" w:firstLine="0"/>
        <w:tabs>
          <w:tab w:val="num" w:pos="0" w:leader="none"/>
        </w:tabs>
      </w:pPr>
      <w:rPr>
        <w:rFonts w:ascii="Symbol" w:hAnsi="Symbol" w:cs="Symbol" w:hint="default"/>
      </w:rPr>
    </w:lvl>
    <w:lvl w:ilvl="3">
      <w:start w:val="1"/>
      <w:numFmt w:val="bullet"/>
      <w:isLgl w:val="false"/>
      <w:suff w:val="tab"/>
      <w:lvlText w:val=""/>
      <w:lvlJc w:val="left"/>
      <w:pPr>
        <w:ind w:left="0" w:firstLine="0"/>
        <w:tabs>
          <w:tab w:val="num" w:pos="0" w:leader="none"/>
        </w:tabs>
      </w:pPr>
      <w:rPr>
        <w:rFonts w:ascii="Symbol" w:hAnsi="Symbol" w:cs="Symbol" w:hint="default"/>
      </w:rPr>
    </w:lvl>
    <w:lvl w:ilvl="4">
      <w:start w:val="1"/>
      <w:numFmt w:val="bullet"/>
      <w:isLgl w:val="false"/>
      <w:suff w:val="tab"/>
      <w:lvlText w:val=""/>
      <w:lvlJc w:val="left"/>
      <w:pPr>
        <w:ind w:left="0" w:firstLine="0"/>
        <w:tabs>
          <w:tab w:val="num" w:pos="0" w:leader="none"/>
        </w:tabs>
      </w:pPr>
      <w:rPr>
        <w:rFonts w:ascii="Symbol" w:hAnsi="Symbol" w:cs="Symbol" w:hint="default"/>
      </w:rPr>
    </w:lvl>
    <w:lvl w:ilvl="5">
      <w:start w:val="1"/>
      <w:numFmt w:val="bullet"/>
      <w:isLgl w:val="false"/>
      <w:suff w:val="tab"/>
      <w:lvlText w:val=""/>
      <w:lvlJc w:val="left"/>
      <w:pPr>
        <w:ind w:left="0" w:firstLine="0"/>
        <w:tabs>
          <w:tab w:val="num" w:pos="0" w:leader="none"/>
        </w:tabs>
      </w:pPr>
      <w:rPr>
        <w:rFonts w:ascii="Symbol" w:hAnsi="Symbol" w:cs="Symbol" w:hint="default"/>
      </w:rPr>
    </w:lvl>
    <w:lvl w:ilvl="6">
      <w:start w:val="1"/>
      <w:numFmt w:val="bullet"/>
      <w:isLgl w:val="false"/>
      <w:suff w:val="tab"/>
      <w:lvlText w:val=""/>
      <w:lvlJc w:val="left"/>
      <w:pPr>
        <w:ind w:left="0" w:firstLine="0"/>
        <w:tabs>
          <w:tab w:val="num" w:pos="0" w:leader="none"/>
        </w:tabs>
      </w:pPr>
      <w:rPr>
        <w:rFonts w:ascii="Symbol" w:hAnsi="Symbol" w:cs="Symbol" w:hint="default"/>
      </w:rPr>
    </w:lvl>
    <w:lvl w:ilvl="7">
      <w:start w:val="1"/>
      <w:numFmt w:val="bullet"/>
      <w:isLgl w:val="false"/>
      <w:suff w:val="tab"/>
      <w:lvlText w:val=""/>
      <w:lvlJc w:val="left"/>
      <w:pPr>
        <w:ind w:left="0" w:firstLine="0"/>
        <w:tabs>
          <w:tab w:val="num" w:pos="0" w:leader="none"/>
        </w:tabs>
      </w:pPr>
      <w:rPr>
        <w:rFonts w:ascii="Symbol" w:hAnsi="Symbol" w:cs="Symbol" w:hint="default"/>
      </w:rPr>
    </w:lvl>
    <w:lvl w:ilvl="8">
      <w:start w:val="1"/>
      <w:numFmt w:val="bullet"/>
      <w:isLgl w:val="false"/>
      <w:suff w:val="tab"/>
      <w:lvlText w:val=""/>
      <w:lvlJc w:val="left"/>
      <w:pPr>
        <w:ind w:left="0" w:firstLine="0"/>
        <w:tabs>
          <w:tab w:val="num" w:pos="0" w:leader="none"/>
        </w:tabs>
      </w:pPr>
      <w:rPr>
        <w:rFonts w:ascii="Symbol" w:hAnsi="Symbol" w:cs="Symbol" w:hint="default"/>
      </w:rPr>
    </w:lvl>
  </w:abstractNum>
  <w:abstractNum w:abstractNumId="2">
    <w:multiLevelType w:val="hybridMultilevel"/>
    <w:lvl w:ilvl="0">
      <w:start w:val="5"/>
      <w:numFmt w:val="decimal"/>
      <w:isLgl w:val="false"/>
      <w:suff w:val="tab"/>
      <w:lvlText w:val="%1."/>
      <w:lvlJc w:val="left"/>
      <w:pPr>
        <w:ind w:left="709" w:hanging="283"/>
        <w:tabs>
          <w:tab w:val="num" w:pos="709" w:leader="none"/>
        </w:tabs>
      </w:pPr>
    </w:lvl>
    <w:lvl w:ilvl="1">
      <w:start w:val="1"/>
      <w:numFmt w:val="decimal"/>
      <w:isLgl w:val="false"/>
      <w:suff w:val="tab"/>
      <w:lvlText w:val="%2."/>
      <w:lvlJc w:val="left"/>
      <w:pPr>
        <w:ind w:left="1418" w:hanging="283"/>
        <w:tabs>
          <w:tab w:val="num" w:pos="1418" w:leader="none"/>
        </w:tabs>
      </w:pPr>
    </w:lvl>
    <w:lvl w:ilvl="2">
      <w:start w:val="1"/>
      <w:numFmt w:val="decimal"/>
      <w:isLgl w:val="false"/>
      <w:suff w:val="tab"/>
      <w:lvlText w:val="%3."/>
      <w:lvlJc w:val="left"/>
      <w:pPr>
        <w:ind w:left="2127" w:hanging="283"/>
        <w:tabs>
          <w:tab w:val="num" w:pos="2127" w:leader="none"/>
        </w:tabs>
      </w:pPr>
    </w:lvl>
    <w:lvl w:ilvl="3">
      <w:start w:val="1"/>
      <w:numFmt w:val="decimal"/>
      <w:isLgl w:val="false"/>
      <w:suff w:val="tab"/>
      <w:lvlText w:val="%4."/>
      <w:lvlJc w:val="left"/>
      <w:pPr>
        <w:ind w:left="2836" w:hanging="283"/>
        <w:tabs>
          <w:tab w:val="num" w:pos="2836" w:leader="none"/>
        </w:tabs>
      </w:pPr>
    </w:lvl>
    <w:lvl w:ilvl="4">
      <w:start w:val="1"/>
      <w:numFmt w:val="decimal"/>
      <w:isLgl w:val="false"/>
      <w:suff w:val="tab"/>
      <w:lvlText w:val="%5."/>
      <w:lvlJc w:val="left"/>
      <w:pPr>
        <w:ind w:left="3545" w:hanging="283"/>
        <w:tabs>
          <w:tab w:val="num" w:pos="3545" w:leader="none"/>
        </w:tabs>
      </w:pPr>
    </w:lvl>
    <w:lvl w:ilvl="5">
      <w:start w:val="1"/>
      <w:numFmt w:val="decimal"/>
      <w:isLgl w:val="false"/>
      <w:suff w:val="tab"/>
      <w:lvlText w:val="%6."/>
      <w:lvlJc w:val="left"/>
      <w:pPr>
        <w:ind w:left="4254" w:hanging="283"/>
        <w:tabs>
          <w:tab w:val="num" w:pos="4254" w:leader="none"/>
        </w:tabs>
      </w:pPr>
    </w:lvl>
    <w:lvl w:ilvl="6">
      <w:start w:val="1"/>
      <w:numFmt w:val="decimal"/>
      <w:isLgl w:val="false"/>
      <w:suff w:val="tab"/>
      <w:lvlText w:val="%7."/>
      <w:lvlJc w:val="left"/>
      <w:pPr>
        <w:ind w:left="4963" w:hanging="283"/>
        <w:tabs>
          <w:tab w:val="num" w:pos="4963" w:leader="none"/>
        </w:tabs>
      </w:pPr>
    </w:lvl>
    <w:lvl w:ilvl="7">
      <w:start w:val="1"/>
      <w:numFmt w:val="decimal"/>
      <w:isLgl w:val="false"/>
      <w:suff w:val="tab"/>
      <w:lvlText w:val="%8."/>
      <w:lvlJc w:val="left"/>
      <w:pPr>
        <w:ind w:left="5672" w:hanging="283"/>
        <w:tabs>
          <w:tab w:val="num" w:pos="5672" w:leader="none"/>
        </w:tabs>
      </w:pPr>
    </w:lvl>
    <w:lvl w:ilvl="8">
      <w:start w:val="1"/>
      <w:numFmt w:val="decimal"/>
      <w:isLgl w:val="false"/>
      <w:suff w:val="tab"/>
      <w:lvlText w:val="%9."/>
      <w:lvlJc w:val="left"/>
      <w:pPr>
        <w:ind w:left="6381" w:hanging="283"/>
        <w:tabs>
          <w:tab w:val="num" w:pos="6381" w:leader="none"/>
        </w:tabs>
      </w:pPr>
    </w:lvl>
  </w:abstractNum>
  <w:abstractNum w:abstractNumId="3">
    <w:multiLevelType w:val="hybridMultilevel"/>
    <w:lvl w:ilvl="0">
      <w:start w:val="1"/>
      <w:numFmt w:val="bullet"/>
      <w:isLgl w:val="false"/>
      <w:suff w:val="tab"/>
      <w:lvlText w:val=""/>
      <w:lvlJc w:val="left"/>
      <w:pPr>
        <w:ind w:left="709" w:hanging="283"/>
        <w:tabs>
          <w:tab w:val="num" w:pos="709" w:leader="none"/>
        </w:tabs>
      </w:pPr>
      <w:rPr>
        <w:rFonts w:ascii="Symbol" w:hAnsi="Symbol" w:cs="Symbol" w:hint="default"/>
      </w:rPr>
    </w:lvl>
    <w:lvl w:ilvl="1">
      <w:start w:val="1"/>
      <w:numFmt w:val="bullet"/>
      <w:isLgl w:val="false"/>
      <w:suff w:val="tab"/>
      <w:lvlText w:val=""/>
      <w:lvlJc w:val="left"/>
      <w:pPr>
        <w:ind w:left="1418" w:hanging="283"/>
        <w:tabs>
          <w:tab w:val="num" w:pos="1418" w:leader="none"/>
        </w:tabs>
      </w:pPr>
      <w:rPr>
        <w:rFonts w:ascii="Symbol" w:hAnsi="Symbol" w:cs="Symbol" w:hint="default"/>
      </w:rPr>
    </w:lvl>
    <w:lvl w:ilvl="2">
      <w:start w:val="1"/>
      <w:numFmt w:val="bullet"/>
      <w:isLgl w:val="false"/>
      <w:suff w:val="tab"/>
      <w:lvlText w:val=""/>
      <w:lvlJc w:val="left"/>
      <w:pPr>
        <w:ind w:left="2127" w:hanging="283"/>
        <w:tabs>
          <w:tab w:val="num" w:pos="2127" w:leader="none"/>
        </w:tabs>
      </w:pPr>
      <w:rPr>
        <w:rFonts w:ascii="Symbol" w:hAnsi="Symbol" w:cs="Symbol" w:hint="default"/>
      </w:rPr>
    </w:lvl>
    <w:lvl w:ilvl="3">
      <w:start w:val="1"/>
      <w:numFmt w:val="bullet"/>
      <w:isLgl w:val="false"/>
      <w:suff w:val="tab"/>
      <w:lvlText w:val=""/>
      <w:lvlJc w:val="left"/>
      <w:pPr>
        <w:ind w:left="2836" w:hanging="283"/>
        <w:tabs>
          <w:tab w:val="num" w:pos="2836" w:leader="none"/>
        </w:tabs>
      </w:pPr>
      <w:rPr>
        <w:rFonts w:ascii="Symbol" w:hAnsi="Symbol" w:cs="Symbol" w:hint="default"/>
      </w:rPr>
    </w:lvl>
    <w:lvl w:ilvl="4">
      <w:start w:val="1"/>
      <w:numFmt w:val="bullet"/>
      <w:isLgl w:val="false"/>
      <w:suff w:val="tab"/>
      <w:lvlText w:val=""/>
      <w:lvlJc w:val="left"/>
      <w:pPr>
        <w:ind w:left="3545" w:hanging="283"/>
        <w:tabs>
          <w:tab w:val="num" w:pos="3545" w:leader="none"/>
        </w:tabs>
      </w:pPr>
      <w:rPr>
        <w:rFonts w:ascii="Symbol" w:hAnsi="Symbol" w:cs="Symbol" w:hint="default"/>
      </w:rPr>
    </w:lvl>
    <w:lvl w:ilvl="5">
      <w:start w:val="1"/>
      <w:numFmt w:val="bullet"/>
      <w:isLgl w:val="false"/>
      <w:suff w:val="tab"/>
      <w:lvlText w:val=""/>
      <w:lvlJc w:val="left"/>
      <w:pPr>
        <w:ind w:left="4254" w:hanging="283"/>
        <w:tabs>
          <w:tab w:val="num" w:pos="4254" w:leader="none"/>
        </w:tabs>
      </w:pPr>
      <w:rPr>
        <w:rFonts w:ascii="Symbol" w:hAnsi="Symbol" w:cs="Symbol" w:hint="default"/>
      </w:rPr>
    </w:lvl>
    <w:lvl w:ilvl="6">
      <w:start w:val="1"/>
      <w:numFmt w:val="bullet"/>
      <w:isLgl w:val="false"/>
      <w:suff w:val="tab"/>
      <w:lvlText w:val=""/>
      <w:lvlJc w:val="left"/>
      <w:pPr>
        <w:ind w:left="4963" w:hanging="283"/>
        <w:tabs>
          <w:tab w:val="num" w:pos="4963" w:leader="none"/>
        </w:tabs>
      </w:pPr>
      <w:rPr>
        <w:rFonts w:ascii="Symbol" w:hAnsi="Symbol" w:cs="Symbol" w:hint="default"/>
      </w:rPr>
    </w:lvl>
    <w:lvl w:ilvl="7">
      <w:start w:val="1"/>
      <w:numFmt w:val="bullet"/>
      <w:isLgl w:val="false"/>
      <w:suff w:val="tab"/>
      <w:lvlText w:val=""/>
      <w:lvlJc w:val="left"/>
      <w:pPr>
        <w:ind w:left="5672" w:hanging="283"/>
        <w:tabs>
          <w:tab w:val="num" w:pos="5672" w:leader="none"/>
        </w:tabs>
      </w:pPr>
      <w:rPr>
        <w:rFonts w:ascii="Symbol" w:hAnsi="Symbol" w:cs="Symbol" w:hint="default"/>
      </w:rPr>
    </w:lvl>
    <w:lvl w:ilvl="8">
      <w:start w:val="1"/>
      <w:numFmt w:val="bullet"/>
      <w:isLgl w:val="false"/>
      <w:suff w:val="tab"/>
      <w:lvlText w:val=""/>
      <w:lvlJc w:val="left"/>
      <w:pPr>
        <w:ind w:left="6381" w:hanging="283"/>
        <w:tabs>
          <w:tab w:val="num" w:pos="6381" w:leader="none"/>
        </w:tabs>
      </w:pPr>
      <w:rPr>
        <w:rFonts w:ascii="Symbol" w:hAnsi="Symbol" w:cs="Symbol" w:hint="default"/>
      </w:rPr>
    </w:lvl>
  </w:abstractNum>
  <w:abstractNum w:abstractNumId="4">
    <w:multiLevelType w:val="hybridMultilevel"/>
    <w:lvl w:ilvl="0">
      <w:start w:val="6"/>
      <w:numFmt w:val="decimal"/>
      <w:isLgl w:val="false"/>
      <w:suff w:val="tab"/>
      <w:lvlText w:val="%1."/>
      <w:lvlJc w:val="left"/>
      <w:pPr>
        <w:ind w:left="709" w:hanging="283"/>
        <w:tabs>
          <w:tab w:val="num" w:pos="709" w:leader="none"/>
        </w:tabs>
      </w:pPr>
    </w:lvl>
    <w:lvl w:ilvl="1">
      <w:start w:val="1"/>
      <w:numFmt w:val="decimal"/>
      <w:isLgl w:val="false"/>
      <w:suff w:val="tab"/>
      <w:lvlText w:val="%2."/>
      <w:lvlJc w:val="left"/>
      <w:pPr>
        <w:ind w:left="1418" w:hanging="283"/>
        <w:tabs>
          <w:tab w:val="num" w:pos="1418" w:leader="none"/>
        </w:tabs>
      </w:pPr>
    </w:lvl>
    <w:lvl w:ilvl="2">
      <w:start w:val="1"/>
      <w:numFmt w:val="decimal"/>
      <w:isLgl w:val="false"/>
      <w:suff w:val="tab"/>
      <w:lvlText w:val="%3."/>
      <w:lvlJc w:val="left"/>
      <w:pPr>
        <w:ind w:left="2127" w:hanging="283"/>
        <w:tabs>
          <w:tab w:val="num" w:pos="2127" w:leader="none"/>
        </w:tabs>
      </w:pPr>
    </w:lvl>
    <w:lvl w:ilvl="3">
      <w:start w:val="1"/>
      <w:numFmt w:val="decimal"/>
      <w:isLgl w:val="false"/>
      <w:suff w:val="tab"/>
      <w:lvlText w:val="%4."/>
      <w:lvlJc w:val="left"/>
      <w:pPr>
        <w:ind w:left="2836" w:hanging="283"/>
        <w:tabs>
          <w:tab w:val="num" w:pos="2836" w:leader="none"/>
        </w:tabs>
      </w:pPr>
    </w:lvl>
    <w:lvl w:ilvl="4">
      <w:start w:val="1"/>
      <w:numFmt w:val="decimal"/>
      <w:isLgl w:val="false"/>
      <w:suff w:val="tab"/>
      <w:lvlText w:val="%5."/>
      <w:lvlJc w:val="left"/>
      <w:pPr>
        <w:ind w:left="3545" w:hanging="283"/>
        <w:tabs>
          <w:tab w:val="num" w:pos="3545" w:leader="none"/>
        </w:tabs>
      </w:pPr>
    </w:lvl>
    <w:lvl w:ilvl="5">
      <w:start w:val="1"/>
      <w:numFmt w:val="decimal"/>
      <w:isLgl w:val="false"/>
      <w:suff w:val="tab"/>
      <w:lvlText w:val="%6."/>
      <w:lvlJc w:val="left"/>
      <w:pPr>
        <w:ind w:left="4254" w:hanging="283"/>
        <w:tabs>
          <w:tab w:val="num" w:pos="4254" w:leader="none"/>
        </w:tabs>
      </w:pPr>
    </w:lvl>
    <w:lvl w:ilvl="6">
      <w:start w:val="1"/>
      <w:numFmt w:val="decimal"/>
      <w:isLgl w:val="false"/>
      <w:suff w:val="tab"/>
      <w:lvlText w:val="%7."/>
      <w:lvlJc w:val="left"/>
      <w:pPr>
        <w:ind w:left="4963" w:hanging="283"/>
        <w:tabs>
          <w:tab w:val="num" w:pos="4963" w:leader="none"/>
        </w:tabs>
      </w:pPr>
    </w:lvl>
    <w:lvl w:ilvl="7">
      <w:start w:val="1"/>
      <w:numFmt w:val="decimal"/>
      <w:isLgl w:val="false"/>
      <w:suff w:val="tab"/>
      <w:lvlText w:val="%8."/>
      <w:lvlJc w:val="left"/>
      <w:pPr>
        <w:ind w:left="5672" w:hanging="283"/>
        <w:tabs>
          <w:tab w:val="num" w:pos="5672" w:leader="none"/>
        </w:tabs>
      </w:pPr>
    </w:lvl>
    <w:lvl w:ilvl="8">
      <w:start w:val="1"/>
      <w:numFmt w:val="decimal"/>
      <w:isLgl w:val="false"/>
      <w:suff w:val="tab"/>
      <w:lvlText w:val="%9."/>
      <w:lvlJc w:val="left"/>
      <w:pPr>
        <w:ind w:left="6381" w:hanging="283"/>
        <w:tabs>
          <w:tab w:val="num" w:pos="6381" w:leader="none"/>
        </w:tabs>
      </w:pPr>
    </w:lvl>
  </w:abstractNum>
  <w:abstractNum w:abstractNumId="5">
    <w:multiLevelType w:val="hybridMultilevel"/>
    <w:lvl w:ilvl="0">
      <w:start w:val="17"/>
      <w:numFmt w:val="decimal"/>
      <w:isLgl w:val="false"/>
      <w:suff w:val="tab"/>
      <w:lvlText w:val="%1."/>
      <w:lvlJc w:val="left"/>
      <w:pPr>
        <w:ind w:left="709" w:hanging="283"/>
        <w:tabs>
          <w:tab w:val="num" w:pos="709" w:leader="none"/>
        </w:tabs>
      </w:pPr>
    </w:lvl>
    <w:lvl w:ilvl="1">
      <w:start w:val="1"/>
      <w:numFmt w:val="decimal"/>
      <w:isLgl w:val="false"/>
      <w:suff w:val="tab"/>
      <w:lvlText w:val="%2."/>
      <w:lvlJc w:val="left"/>
      <w:pPr>
        <w:ind w:left="1418" w:hanging="283"/>
        <w:tabs>
          <w:tab w:val="num" w:pos="1418" w:leader="none"/>
        </w:tabs>
      </w:pPr>
    </w:lvl>
    <w:lvl w:ilvl="2">
      <w:start w:val="1"/>
      <w:numFmt w:val="decimal"/>
      <w:isLgl w:val="false"/>
      <w:suff w:val="tab"/>
      <w:lvlText w:val="%3."/>
      <w:lvlJc w:val="left"/>
      <w:pPr>
        <w:ind w:left="2127" w:hanging="283"/>
        <w:tabs>
          <w:tab w:val="num" w:pos="2127" w:leader="none"/>
        </w:tabs>
      </w:pPr>
    </w:lvl>
    <w:lvl w:ilvl="3">
      <w:start w:val="1"/>
      <w:numFmt w:val="decimal"/>
      <w:isLgl w:val="false"/>
      <w:suff w:val="tab"/>
      <w:lvlText w:val="%4."/>
      <w:lvlJc w:val="left"/>
      <w:pPr>
        <w:ind w:left="2836" w:hanging="283"/>
        <w:tabs>
          <w:tab w:val="num" w:pos="2836" w:leader="none"/>
        </w:tabs>
      </w:pPr>
    </w:lvl>
    <w:lvl w:ilvl="4">
      <w:start w:val="1"/>
      <w:numFmt w:val="decimal"/>
      <w:isLgl w:val="false"/>
      <w:suff w:val="tab"/>
      <w:lvlText w:val="%5."/>
      <w:lvlJc w:val="left"/>
      <w:pPr>
        <w:ind w:left="3545" w:hanging="283"/>
        <w:tabs>
          <w:tab w:val="num" w:pos="3545" w:leader="none"/>
        </w:tabs>
      </w:pPr>
    </w:lvl>
    <w:lvl w:ilvl="5">
      <w:start w:val="1"/>
      <w:numFmt w:val="decimal"/>
      <w:isLgl w:val="false"/>
      <w:suff w:val="tab"/>
      <w:lvlText w:val="%6."/>
      <w:lvlJc w:val="left"/>
      <w:pPr>
        <w:ind w:left="4254" w:hanging="283"/>
        <w:tabs>
          <w:tab w:val="num" w:pos="4254" w:leader="none"/>
        </w:tabs>
      </w:pPr>
    </w:lvl>
    <w:lvl w:ilvl="6">
      <w:start w:val="1"/>
      <w:numFmt w:val="decimal"/>
      <w:isLgl w:val="false"/>
      <w:suff w:val="tab"/>
      <w:lvlText w:val="%7."/>
      <w:lvlJc w:val="left"/>
      <w:pPr>
        <w:ind w:left="4963" w:hanging="283"/>
        <w:tabs>
          <w:tab w:val="num" w:pos="4963" w:leader="none"/>
        </w:tabs>
      </w:pPr>
    </w:lvl>
    <w:lvl w:ilvl="7">
      <w:start w:val="1"/>
      <w:numFmt w:val="decimal"/>
      <w:isLgl w:val="false"/>
      <w:suff w:val="tab"/>
      <w:lvlText w:val="%8."/>
      <w:lvlJc w:val="left"/>
      <w:pPr>
        <w:ind w:left="5672" w:hanging="283"/>
        <w:tabs>
          <w:tab w:val="num" w:pos="5672" w:leader="none"/>
        </w:tabs>
      </w:pPr>
    </w:lvl>
    <w:lvl w:ilvl="8">
      <w:start w:val="1"/>
      <w:numFmt w:val="decimal"/>
      <w:isLgl w:val="false"/>
      <w:suff w:val="tab"/>
      <w:lvlText w:val="%9."/>
      <w:lvlJc w:val="left"/>
      <w:pPr>
        <w:ind w:left="6381" w:hanging="283"/>
        <w:tabs>
          <w:tab w:val="num" w:pos="6381" w:leader="none"/>
        </w:tabs>
      </w:pPr>
    </w:lvl>
  </w:abstractNum>
  <w:abstractNum w:abstractNumId="6">
    <w:multiLevelType w:val="hybridMultilevel"/>
    <w:lvl w:ilvl="0">
      <w:start w:val="16"/>
      <w:numFmt w:val="decimal"/>
      <w:isLgl w:val="false"/>
      <w:suff w:val="tab"/>
      <w:lvlText w:val="%1."/>
      <w:lvlJc w:val="left"/>
      <w:pPr>
        <w:ind w:left="709" w:hanging="283"/>
        <w:tabs>
          <w:tab w:val="num" w:pos="709" w:leader="none"/>
        </w:tabs>
      </w:pPr>
    </w:lvl>
    <w:lvl w:ilvl="1">
      <w:start w:val="1"/>
      <w:numFmt w:val="decimal"/>
      <w:isLgl w:val="false"/>
      <w:suff w:val="tab"/>
      <w:lvlText w:val="%2."/>
      <w:lvlJc w:val="left"/>
      <w:pPr>
        <w:ind w:left="1418" w:hanging="283"/>
        <w:tabs>
          <w:tab w:val="num" w:pos="1418" w:leader="none"/>
        </w:tabs>
      </w:pPr>
    </w:lvl>
    <w:lvl w:ilvl="2">
      <w:start w:val="1"/>
      <w:numFmt w:val="decimal"/>
      <w:isLgl w:val="false"/>
      <w:suff w:val="tab"/>
      <w:lvlText w:val="%3."/>
      <w:lvlJc w:val="left"/>
      <w:pPr>
        <w:ind w:left="2127" w:hanging="283"/>
        <w:tabs>
          <w:tab w:val="num" w:pos="2127" w:leader="none"/>
        </w:tabs>
      </w:pPr>
    </w:lvl>
    <w:lvl w:ilvl="3">
      <w:start w:val="1"/>
      <w:numFmt w:val="decimal"/>
      <w:isLgl w:val="false"/>
      <w:suff w:val="tab"/>
      <w:lvlText w:val="%4."/>
      <w:lvlJc w:val="left"/>
      <w:pPr>
        <w:ind w:left="2836" w:hanging="283"/>
        <w:tabs>
          <w:tab w:val="num" w:pos="2836" w:leader="none"/>
        </w:tabs>
      </w:pPr>
    </w:lvl>
    <w:lvl w:ilvl="4">
      <w:start w:val="1"/>
      <w:numFmt w:val="decimal"/>
      <w:isLgl w:val="false"/>
      <w:suff w:val="tab"/>
      <w:lvlText w:val="%5."/>
      <w:lvlJc w:val="left"/>
      <w:pPr>
        <w:ind w:left="3545" w:hanging="283"/>
        <w:tabs>
          <w:tab w:val="num" w:pos="3545" w:leader="none"/>
        </w:tabs>
      </w:pPr>
    </w:lvl>
    <w:lvl w:ilvl="5">
      <w:start w:val="1"/>
      <w:numFmt w:val="decimal"/>
      <w:isLgl w:val="false"/>
      <w:suff w:val="tab"/>
      <w:lvlText w:val="%6."/>
      <w:lvlJc w:val="left"/>
      <w:pPr>
        <w:ind w:left="4254" w:hanging="283"/>
        <w:tabs>
          <w:tab w:val="num" w:pos="4254" w:leader="none"/>
        </w:tabs>
      </w:pPr>
    </w:lvl>
    <w:lvl w:ilvl="6">
      <w:start w:val="1"/>
      <w:numFmt w:val="decimal"/>
      <w:isLgl w:val="false"/>
      <w:suff w:val="tab"/>
      <w:lvlText w:val="%7."/>
      <w:lvlJc w:val="left"/>
      <w:pPr>
        <w:ind w:left="4963" w:hanging="283"/>
        <w:tabs>
          <w:tab w:val="num" w:pos="4963" w:leader="none"/>
        </w:tabs>
      </w:pPr>
    </w:lvl>
    <w:lvl w:ilvl="7">
      <w:start w:val="1"/>
      <w:numFmt w:val="decimal"/>
      <w:isLgl w:val="false"/>
      <w:suff w:val="tab"/>
      <w:lvlText w:val="%8."/>
      <w:lvlJc w:val="left"/>
      <w:pPr>
        <w:ind w:left="5672" w:hanging="283"/>
        <w:tabs>
          <w:tab w:val="num" w:pos="5672" w:leader="none"/>
        </w:tabs>
      </w:pPr>
    </w:lvl>
    <w:lvl w:ilvl="8">
      <w:start w:val="1"/>
      <w:numFmt w:val="decimal"/>
      <w:isLgl w:val="false"/>
      <w:suff w:val="tab"/>
      <w:lvlText w:val="%9."/>
      <w:lvlJc w:val="left"/>
      <w:pPr>
        <w:ind w:left="6381" w:hanging="283"/>
        <w:tabs>
          <w:tab w:val="num" w:pos="6381" w:leader="none"/>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9"/>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color w:val="000000"/>
        <w:sz w:val="22"/>
        <w:szCs w:val="24"/>
        <w:lang w:val="en-US" w:bidi="hi-IN" w:eastAsia="zh-CN"/>
      </w:rPr>
    </w:rPrDefault>
    <w:pPrDefault>
      <w:pPr>
        <w:spacing w:lineRule="auto" w:line="276" w:after="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673">
    <w:name w:val="Table Grid Light"/>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674">
    <w:name w:val="Plain Table 1"/>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Fill="text1" w:themeFillTint="0D" w:themeColor="text1" w:themeTint="0D"/>
      </w:tcPr>
    </w:tblStylePr>
    <w:tblStylePr w:type="band1Vert">
      <w:tcPr>
        <w:shd w:val="clear" w:color="FFFFFF"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5">
    <w:name w:val="Plain Table 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6">
    <w:name w:val="Plain Table 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677">
    <w:name w:val="Plain Table 4"/>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8">
    <w:name w:val="Plain Table 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679">
    <w:name w:val="Grid Table 1 Light"/>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680">
    <w:name w:val="Grid Table 1 Light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681">
    <w:name w:val="Grid Table 1 Light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682">
    <w:name w:val="Grid Table 1 Light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683">
    <w:name w:val="Grid Table 1 Light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684">
    <w:name w:val="Grid Table 1 Light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685">
    <w:name w:val="Grid Table 1 Light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86">
    <w:name w:val="Grid Table 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87">
    <w:name w:val="Grid Table 2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88">
    <w:name w:val="Grid Table 2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89">
    <w:name w:val="Grid Table 2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90">
    <w:name w:val="Grid Table 2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91">
    <w:name w:val="Grid Table 2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92">
    <w:name w:val="Grid Table 2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93">
    <w:name w:val="Grid Table 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4">
    <w:name w:val="Grid Table 3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5">
    <w:name w:val="Grid Table 3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6">
    <w:name w:val="Grid Table 3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7">
    <w:name w:val="Grid Table 3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8">
    <w:name w:val="Grid Table 3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9">
    <w:name w:val="Grid Table 3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0">
    <w:name w:val="Grid Table 4"/>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rFonts w:ascii="Arial" w:hAnsi="Arial"/>
        <w:b/>
        <w:color w:val="FFFFFF"/>
        <w:sz w:val="22"/>
      </w:rPr>
      <w:tcPr>
        <w:shd w:val="clear" w:color="FFFFFF"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01">
    <w:name w:val="Grid Table 4 - Accent 1"/>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32" w:themeColor="accent1" w:themeTint="32"/>
      </w:tcPr>
    </w:tblStylePr>
    <w:tblStylePr w:type="band1Vert">
      <w:rPr>
        <w:rFonts w:ascii="Arial" w:hAnsi="Arial"/>
        <w:color w:val="404040"/>
        <w:sz w:val="22"/>
      </w:rPr>
      <w:tcPr>
        <w:shd w:val="clear" w:color="FFFFFF"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FFFFFF" w:themeFill="accent1" w:themeFillTint="EA"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02">
    <w:name w:val="Grid Table 4 - Accent 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03">
    <w:name w:val="Grid Table 4 - Accent 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FFFFFF" w:themeFill="accent3" w:themeFillTint="FE"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04">
    <w:name w:val="Grid Table 4 - Accent 4"/>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05">
    <w:name w:val="Grid Table 4 - Accent 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FFFFFF" w:themeFill="accent5"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706">
    <w:name w:val="Grid Table 4 - Accent 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FFFFF" w:themeFill="accent6"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707">
    <w:name w:val="Grid Table 5 Dark"/>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text1" w:themeFillTint="40" w:themeColor="text1" w:themeTint="40"/>
    </w:tblPr>
    <w:tblStylePr w:type="band1Horz">
      <w:tcPr>
        <w:shd w:val="clear" w:color="FFFFFF" w:themeFill="text1" w:themeFillTint="75" w:themeColor="text1" w:themeTint="75"/>
      </w:tcPr>
    </w:tblStylePr>
    <w:tblStylePr w:type="band1Vert">
      <w:tcPr>
        <w:shd w:val="clear" w:color="FFFFFF" w:themeFill="text1" w:themeFillTint="75" w:themeColor="text1" w:themeTint="75"/>
      </w:tcPr>
    </w:tblStylePr>
    <w:tblStylePr w:type="firstCol">
      <w:rPr>
        <w:rFonts w:ascii="Arial" w:hAnsi="Arial"/>
        <w:b/>
        <w:color w:val="FFFFFF"/>
        <w:sz w:val="22"/>
      </w:rPr>
      <w:tcPr>
        <w:shd w:val="clear" w:color="FFFFFF" w:themeFill="text1" w:themeColor="text1"/>
      </w:tcPr>
    </w:tblStylePr>
    <w:tblStylePr w:type="firstRow">
      <w:rPr>
        <w:rFonts w:ascii="Arial" w:hAnsi="Arial"/>
        <w:b/>
        <w:color w:val="FFFFFF"/>
        <w:sz w:val="22"/>
      </w:rPr>
      <w:tcPr>
        <w:shd w:val="clear" w:color="FFFFFF" w:themeFill="text1" w:themeColor="text1"/>
      </w:tcPr>
    </w:tblStylePr>
    <w:tblStylePr w:type="lastCol">
      <w:rPr>
        <w:rFonts w:ascii="Arial" w:hAnsi="Arial"/>
        <w:b/>
        <w:color w:val="FFFFFF"/>
        <w:sz w:val="22"/>
      </w:rPr>
      <w:tcPr>
        <w:shd w:val="clear" w:color="FFFFFF" w:themeFill="text1" w:themeColor="text1"/>
      </w:tcPr>
    </w:tblStylePr>
    <w:tblStylePr w:type="lastRow">
      <w:rPr>
        <w:rFonts w:ascii="Arial" w:hAnsi="Arial"/>
        <w:b/>
        <w:color w:val="FFFFFF"/>
        <w:sz w:val="22"/>
      </w:rPr>
      <w:tcPr>
        <w:shd w:val="clear" w:color="FFFFFF" w:themeFill="text1" w:themeColor="text1"/>
        <w:tcBorders>
          <w:top w:val="single" w:color="000000" w:sz="4" w:space="0" w:themeColor="light1"/>
        </w:tcBorders>
      </w:tcPr>
    </w:tblStylePr>
  </w:style>
  <w:style w:type="table" w:styleId="708">
    <w:name w:val="Grid Table 5 Dark- Accent 1"/>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1" w:themeFillTint="34" w:themeColor="accent1" w:themeTint="34"/>
    </w:tblPr>
    <w:tblStylePr w:type="band1Horz">
      <w:tcPr>
        <w:shd w:val="clear" w:color="FFFFFF" w:themeFill="accent1" w:themeFillTint="75" w:themeColor="accent1" w:themeTint="75"/>
      </w:tcPr>
    </w:tblStylePr>
    <w:tblStylePr w:type="band1Vert">
      <w:tcPr>
        <w:shd w:val="clear" w:color="FFFFFF" w:themeFill="accent1" w:themeFillTint="75" w:themeColor="accent1" w:themeTint="75"/>
      </w:tcPr>
    </w:tblStylePr>
    <w:tblStylePr w:type="firstCol">
      <w:rPr>
        <w:rFonts w:ascii="Arial" w:hAnsi="Arial"/>
        <w:b/>
        <w:color w:val="FFFFFF"/>
        <w:sz w:val="22"/>
      </w:rPr>
      <w:tcPr>
        <w:shd w:val="clear" w:color="FFFFFF" w:themeFill="accent1" w:themeColor="accent1"/>
      </w:tcPr>
    </w:tblStylePr>
    <w:tblStylePr w:type="firstRow">
      <w:rPr>
        <w:rFonts w:ascii="Arial" w:hAnsi="Arial"/>
        <w:b/>
        <w:color w:val="FFFFFF"/>
        <w:sz w:val="22"/>
      </w:rPr>
      <w:tcPr>
        <w:shd w:val="clear" w:color="FFFFFF" w:themeFill="accent1" w:themeColor="accent1"/>
      </w:tcPr>
    </w:tblStylePr>
    <w:tblStylePr w:type="lastCol">
      <w:rPr>
        <w:rFonts w:ascii="Arial" w:hAnsi="Arial"/>
        <w:b/>
        <w:color w:val="FFFFFF"/>
        <w:sz w:val="22"/>
      </w:rPr>
      <w:tcPr>
        <w:shd w:val="clear" w:color="FFFFFF" w:themeFill="accent1" w:themeColor="accent1"/>
      </w:tcPr>
    </w:tblStylePr>
    <w:tblStylePr w:type="lastRow">
      <w:rPr>
        <w:rFonts w:ascii="Arial" w:hAnsi="Arial"/>
        <w:b/>
        <w:color w:val="FFFFFF"/>
        <w:sz w:val="22"/>
      </w:rPr>
      <w:tcPr>
        <w:shd w:val="clear" w:color="FFFFFF" w:themeFill="accent1" w:themeColor="accent1"/>
        <w:tcBorders>
          <w:top w:val="single" w:color="000000" w:sz="4" w:space="0" w:themeColor="light1"/>
        </w:tcBorders>
      </w:tcPr>
    </w:tblStylePr>
  </w:style>
  <w:style w:type="table" w:styleId="709">
    <w:name w:val="Grid Table 5 Dark - Accent 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2" w:themeFillTint="32" w:themeColor="accent2" w:themeTint="32"/>
    </w:tblPr>
    <w:tblStylePr w:type="band1Horz">
      <w:tcPr>
        <w:shd w:val="clear" w:color="FFFFFF" w:themeFill="accent2" w:themeFillTint="75" w:themeColor="accent2" w:themeTint="75"/>
      </w:tcPr>
    </w:tblStylePr>
    <w:tblStylePr w:type="band1Vert">
      <w:tcPr>
        <w:shd w:val="clear" w:color="FFFFFF" w:themeFill="accent2" w:themeFillTint="75" w:themeColor="accent2" w:themeTint="75"/>
      </w:tcPr>
    </w:tblStylePr>
    <w:tblStylePr w:type="firstCol">
      <w:rPr>
        <w:rFonts w:ascii="Arial" w:hAnsi="Arial"/>
        <w:b/>
        <w:color w:val="FFFFFF"/>
        <w:sz w:val="22"/>
      </w:rPr>
      <w:tcPr>
        <w:shd w:val="clear" w:color="FFFFFF" w:themeFill="accent2" w:themeColor="accent2"/>
      </w:tcPr>
    </w:tblStylePr>
    <w:tblStylePr w:type="firstRow">
      <w:rPr>
        <w:rFonts w:ascii="Arial" w:hAnsi="Arial"/>
        <w:b/>
        <w:color w:val="FFFFFF"/>
        <w:sz w:val="22"/>
      </w:rPr>
      <w:tcPr>
        <w:shd w:val="clear" w:color="FFFFFF" w:themeFill="accent2" w:themeColor="accent2"/>
      </w:tcPr>
    </w:tblStylePr>
    <w:tblStylePr w:type="lastCol">
      <w:rPr>
        <w:rFonts w:ascii="Arial" w:hAnsi="Arial"/>
        <w:b/>
        <w:color w:val="FFFFFF"/>
        <w:sz w:val="22"/>
      </w:rPr>
      <w:tcPr>
        <w:shd w:val="clear" w:color="FFFFFF" w:themeFill="accent2" w:themeColor="accent2"/>
      </w:tcPr>
    </w:tblStylePr>
    <w:tblStylePr w:type="lastRow">
      <w:rPr>
        <w:rFonts w:ascii="Arial" w:hAnsi="Arial"/>
        <w:b/>
        <w:color w:val="FFFFFF"/>
        <w:sz w:val="22"/>
      </w:rPr>
      <w:tcPr>
        <w:shd w:val="clear" w:color="FFFFFF" w:themeFill="accent2" w:themeColor="accent2"/>
        <w:tcBorders>
          <w:top w:val="single" w:color="000000" w:sz="4" w:space="0" w:themeColor="light1"/>
        </w:tcBorders>
      </w:tcPr>
    </w:tblStylePr>
  </w:style>
  <w:style w:type="table" w:styleId="710">
    <w:name w:val="Grid Table 5 Dark - Accent 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3" w:themeFillTint="34" w:themeColor="accent3" w:themeTint="34"/>
    </w:tblPr>
    <w:tblStylePr w:type="band1Horz">
      <w:tcPr>
        <w:shd w:val="clear" w:color="FFFFFF" w:themeFill="accent3" w:themeFillTint="75" w:themeColor="accent3" w:themeTint="75"/>
      </w:tcPr>
    </w:tblStylePr>
    <w:tblStylePr w:type="band1Vert">
      <w:tcPr>
        <w:shd w:val="clear" w:color="FFFFFF" w:themeFill="accent3" w:themeFillTint="75" w:themeColor="accent3" w:themeTint="75"/>
      </w:tcPr>
    </w:tblStylePr>
    <w:tblStylePr w:type="firstCol">
      <w:rPr>
        <w:rFonts w:ascii="Arial" w:hAnsi="Arial"/>
        <w:b/>
        <w:color w:val="FFFFFF"/>
        <w:sz w:val="22"/>
      </w:rPr>
      <w:tcPr>
        <w:shd w:val="clear" w:color="FFFFFF" w:themeFill="accent3" w:themeColor="accent3"/>
      </w:tcPr>
    </w:tblStylePr>
    <w:tblStylePr w:type="firstRow">
      <w:rPr>
        <w:rFonts w:ascii="Arial" w:hAnsi="Arial"/>
        <w:b/>
        <w:color w:val="FFFFFF"/>
        <w:sz w:val="22"/>
      </w:rPr>
      <w:tcPr>
        <w:shd w:val="clear" w:color="FFFFFF" w:themeFill="accent3" w:themeColor="accent3"/>
      </w:tcPr>
    </w:tblStylePr>
    <w:tblStylePr w:type="lastCol">
      <w:rPr>
        <w:rFonts w:ascii="Arial" w:hAnsi="Arial"/>
        <w:b/>
        <w:color w:val="FFFFFF"/>
        <w:sz w:val="22"/>
      </w:rPr>
      <w:tcPr>
        <w:shd w:val="clear" w:color="FFFFFF" w:themeFill="accent3" w:themeColor="accent3"/>
      </w:tcPr>
    </w:tblStylePr>
    <w:tblStylePr w:type="lastRow">
      <w:rPr>
        <w:rFonts w:ascii="Arial" w:hAnsi="Arial"/>
        <w:b/>
        <w:color w:val="FFFFFF"/>
        <w:sz w:val="22"/>
      </w:rPr>
      <w:tcPr>
        <w:shd w:val="clear" w:color="FFFFFF" w:themeFill="accent3" w:themeColor="accent3"/>
        <w:tcBorders>
          <w:top w:val="single" w:color="000000" w:sz="4" w:space="0" w:themeColor="light1"/>
        </w:tcBorders>
      </w:tcPr>
    </w:tblStylePr>
  </w:style>
  <w:style w:type="table" w:styleId="711">
    <w:name w:val="Grid Table 5 Dark- Accent 4"/>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4" w:themeFillTint="34" w:themeColor="accent4" w:themeTint="34"/>
    </w:tblPr>
    <w:tblStylePr w:type="band1Horz">
      <w:tcPr>
        <w:shd w:val="clear" w:color="FFFFFF" w:themeFill="accent4" w:themeFillTint="75" w:themeColor="accent4" w:themeTint="75"/>
      </w:tcPr>
    </w:tblStylePr>
    <w:tblStylePr w:type="band1Vert">
      <w:tcPr>
        <w:shd w:val="clear" w:color="FFFFFF" w:themeFill="accent4" w:themeFillTint="75" w:themeColor="accent4" w:themeTint="75"/>
      </w:tcPr>
    </w:tblStylePr>
    <w:tblStylePr w:type="firstCol">
      <w:rPr>
        <w:rFonts w:ascii="Arial" w:hAnsi="Arial"/>
        <w:b/>
        <w:color w:val="FFFFFF"/>
        <w:sz w:val="22"/>
      </w:rPr>
      <w:tcPr>
        <w:shd w:val="clear" w:color="FFFFFF" w:themeFill="accent4" w:themeColor="accent4"/>
      </w:tcPr>
    </w:tblStylePr>
    <w:tblStylePr w:type="firstRow">
      <w:rPr>
        <w:rFonts w:ascii="Arial" w:hAnsi="Arial"/>
        <w:b/>
        <w:color w:val="FFFFFF"/>
        <w:sz w:val="22"/>
      </w:rPr>
      <w:tcPr>
        <w:shd w:val="clear" w:color="FFFFFF" w:themeFill="accent4" w:themeColor="accent4"/>
      </w:tcPr>
    </w:tblStylePr>
    <w:tblStylePr w:type="lastCol">
      <w:rPr>
        <w:rFonts w:ascii="Arial" w:hAnsi="Arial"/>
        <w:b/>
        <w:color w:val="FFFFFF"/>
        <w:sz w:val="22"/>
      </w:rPr>
      <w:tcPr>
        <w:shd w:val="clear" w:color="FFFFFF" w:themeFill="accent4" w:themeColor="accent4"/>
      </w:tcPr>
    </w:tblStylePr>
    <w:tblStylePr w:type="lastRow">
      <w:rPr>
        <w:rFonts w:ascii="Arial" w:hAnsi="Arial"/>
        <w:b/>
        <w:color w:val="FFFFFF"/>
        <w:sz w:val="22"/>
      </w:rPr>
      <w:tcPr>
        <w:shd w:val="clear" w:color="FFFFFF" w:themeFill="accent4" w:themeColor="accent4"/>
        <w:tcBorders>
          <w:top w:val="single" w:color="000000" w:sz="4" w:space="0" w:themeColor="light1"/>
        </w:tcBorders>
      </w:tcPr>
    </w:tblStylePr>
  </w:style>
  <w:style w:type="table" w:styleId="712">
    <w:name w:val="Grid Table 5 Dark - Accent 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5" w:themeFillTint="34" w:themeColor="accent5" w:themeTint="34"/>
    </w:tblPr>
    <w:tblStylePr w:type="band1Horz">
      <w:tcPr>
        <w:shd w:val="clear" w:color="FFFFFF" w:themeFill="accent5" w:themeFillTint="75" w:themeColor="accent5" w:themeTint="75"/>
      </w:tcPr>
    </w:tblStylePr>
    <w:tblStylePr w:type="band1Vert">
      <w:tcPr>
        <w:shd w:val="clear" w:color="FFFFFF" w:themeFill="accent5" w:themeFillTint="75" w:themeColor="accent5" w:themeTint="75"/>
      </w:tcPr>
    </w:tblStylePr>
    <w:tblStylePr w:type="firstCol">
      <w:rPr>
        <w:rFonts w:ascii="Arial" w:hAnsi="Arial"/>
        <w:b/>
        <w:color w:val="FFFFFF"/>
        <w:sz w:val="22"/>
      </w:rPr>
      <w:tcPr>
        <w:shd w:val="clear" w:color="FFFFFF" w:themeFill="accent5" w:themeColor="accent5"/>
      </w:tcPr>
    </w:tblStylePr>
    <w:tblStylePr w:type="firstRow">
      <w:rPr>
        <w:rFonts w:ascii="Arial" w:hAnsi="Arial"/>
        <w:b/>
        <w:color w:val="FFFFFF"/>
        <w:sz w:val="22"/>
      </w:rPr>
      <w:tcPr>
        <w:shd w:val="clear" w:color="FFFFFF" w:themeFill="accent5" w:themeColor="accent5"/>
      </w:tcPr>
    </w:tblStylePr>
    <w:tblStylePr w:type="lastCol">
      <w:rPr>
        <w:rFonts w:ascii="Arial" w:hAnsi="Arial"/>
        <w:b/>
        <w:color w:val="FFFFFF"/>
        <w:sz w:val="22"/>
      </w:rPr>
      <w:tcPr>
        <w:shd w:val="clear" w:color="FFFFFF" w:themeFill="accent5" w:themeColor="accent5"/>
      </w:tcPr>
    </w:tblStylePr>
    <w:tblStylePr w:type="lastRow">
      <w:rPr>
        <w:rFonts w:ascii="Arial" w:hAnsi="Arial"/>
        <w:b/>
        <w:color w:val="FFFFFF"/>
        <w:sz w:val="22"/>
      </w:rPr>
      <w:tcPr>
        <w:shd w:val="clear" w:color="FFFFFF" w:themeFill="accent5" w:themeColor="accent5"/>
        <w:tcBorders>
          <w:top w:val="single" w:color="000000" w:sz="4" w:space="0" w:themeColor="light1"/>
        </w:tcBorders>
      </w:tcPr>
    </w:tblStylePr>
  </w:style>
  <w:style w:type="table" w:styleId="713">
    <w:name w:val="Grid Table 5 Dark - Accent 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6" w:themeFillTint="34" w:themeColor="accent6" w:themeTint="34"/>
    </w:tblPr>
    <w:tblStylePr w:type="band1Horz">
      <w:tcPr>
        <w:shd w:val="clear" w:color="FFFFFF" w:themeFill="accent6" w:themeFillTint="75" w:themeColor="accent6" w:themeTint="75"/>
      </w:tcPr>
    </w:tblStylePr>
    <w:tblStylePr w:type="band1Vert">
      <w:tcPr>
        <w:shd w:val="clear" w:color="FFFFFF" w:themeFill="accent6" w:themeFillTint="75" w:themeColor="accent6" w:themeTint="75"/>
      </w:tcPr>
    </w:tblStylePr>
    <w:tblStylePr w:type="firstCol">
      <w:rPr>
        <w:rFonts w:ascii="Arial" w:hAnsi="Arial"/>
        <w:b/>
        <w:color w:val="FFFFFF"/>
        <w:sz w:val="22"/>
      </w:rPr>
      <w:tcPr>
        <w:shd w:val="clear" w:color="FFFFFF" w:themeFill="accent6" w:themeColor="accent6"/>
      </w:tcPr>
    </w:tblStylePr>
    <w:tblStylePr w:type="firstRow">
      <w:rPr>
        <w:rFonts w:ascii="Arial" w:hAnsi="Arial"/>
        <w:b/>
        <w:color w:val="FFFFFF"/>
        <w:sz w:val="22"/>
      </w:rPr>
      <w:tcPr>
        <w:shd w:val="clear" w:color="FFFFFF" w:themeFill="accent6" w:themeColor="accent6"/>
      </w:tcPr>
    </w:tblStylePr>
    <w:tblStylePr w:type="lastCol">
      <w:rPr>
        <w:rFonts w:ascii="Arial" w:hAnsi="Arial"/>
        <w:b/>
        <w:color w:val="FFFFFF"/>
        <w:sz w:val="22"/>
      </w:rPr>
      <w:tcPr>
        <w:shd w:val="clear" w:color="FFFFFF" w:themeFill="accent6" w:themeColor="accent6"/>
      </w:tcPr>
    </w:tblStylePr>
    <w:tblStylePr w:type="lastRow">
      <w:rPr>
        <w:rFonts w:ascii="Arial" w:hAnsi="Arial"/>
        <w:b/>
        <w:color w:val="FFFFFF"/>
        <w:sz w:val="22"/>
      </w:rPr>
      <w:tcPr>
        <w:shd w:val="clear" w:color="FFFFFF" w:themeFill="accent6" w:themeColor="accent6"/>
        <w:tcBorders>
          <w:top w:val="single" w:color="000000" w:sz="4" w:space="0" w:themeColor="light1"/>
        </w:tcBorders>
      </w:tcPr>
    </w:tblStylePr>
  </w:style>
  <w:style w:type="table" w:styleId="714">
    <w:name w:val="Grid Table 6 Colorful"/>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Fill="text1" w:themeFillTint="34" w:themeColor="text1" w:themeTint="34"/>
      </w:tcPr>
    </w:tblStylePr>
    <w:tblStylePr w:type="band1Vert">
      <w:tcPr>
        <w:shd w:val="clear" w:color="FFFFFF" w:themeFill="text1" w:themeFillTint="34"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5">
    <w:name w:val="Grid Table 6 Colorful - Accent 1"/>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404040" w:themeColor="accent1" w:themeTint="80" w:themeShade="95"/>
        <w:sz w:val="22"/>
      </w:rPr>
    </w:tblStylePr>
    <w:tblStylePr w:type="firstCol">
      <w:rPr>
        <w:b/>
        <w:color w:val="1EBF04" w:themeColor="accent1" w:themeTint="80" w:themeShade="95"/>
      </w:rPr>
    </w:tblStylePr>
    <w:tblStylePr w:type="firstRow">
      <w:rPr>
        <w:b/>
        <w:color w:val="1EBF04" w:themeColor="accent1" w:themeTint="80" w:themeShade="95"/>
      </w:rPr>
      <w:tcPr>
        <w:tcBorders>
          <w:bottom w:val="single" w:color="000000" w:sz="12" w:space="0" w:themeColor="accent1" w:themeTint="80"/>
        </w:tcBorders>
      </w:tcPr>
    </w:tblStylePr>
    <w:tblStylePr w:type="lastCol">
      <w:rPr>
        <w:b/>
        <w:color w:val="1EBF04" w:themeColor="accent1" w:themeTint="80" w:themeShade="95"/>
      </w:rPr>
    </w:tblStylePr>
    <w:tblStylePr w:type="lastRow">
      <w:rPr>
        <w:b/>
        <w:color w:val="1EBF04" w:themeColor="accent1" w:themeTint="80" w:themeShade="95"/>
      </w:rPr>
    </w:tblStylePr>
    <w:tblStylePr w:type="wholeTable">
      <w:rPr>
        <w:rFonts w:ascii="Arial" w:hAnsi="Arial"/>
        <w:color w:val="404040" w:themeColor="accent1" w:themeTint="80" w:themeShade="95"/>
        <w:sz w:val="22"/>
      </w:rPr>
    </w:tblStylePr>
  </w:style>
  <w:style w:type="table" w:styleId="716">
    <w:name w:val="Grid Table 6 Colorful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404040" w:themeColor="accent2" w:themeTint="97" w:themeShade="95"/>
        <w:sz w:val="22"/>
      </w:rPr>
    </w:tblStylePr>
    <w:tblStylePr w:type="firstCol">
      <w:rPr>
        <w:b/>
        <w:color w:val="0378AE" w:themeColor="accent2" w:themeTint="97" w:themeShade="95"/>
      </w:rPr>
    </w:tblStylePr>
    <w:tblStylePr w:type="firstRow">
      <w:rPr>
        <w:b/>
        <w:color w:val="0378AE" w:themeColor="accent2" w:themeTint="97" w:themeShade="95"/>
      </w:rPr>
      <w:tcPr>
        <w:tcBorders>
          <w:bottom w:val="single" w:color="000000" w:sz="12" w:space="0" w:themeColor="accent2" w:themeTint="97"/>
        </w:tcBorders>
      </w:tcPr>
    </w:tblStylePr>
    <w:tblStylePr w:type="lastCol">
      <w:rPr>
        <w:b/>
        <w:color w:val="0378AE" w:themeColor="accent2" w:themeTint="97" w:themeShade="95"/>
      </w:rPr>
    </w:tblStylePr>
    <w:tblStylePr w:type="lastRow">
      <w:rPr>
        <w:b/>
        <w:color w:val="0378AE" w:themeColor="accent2" w:themeTint="97" w:themeShade="95"/>
      </w:rPr>
    </w:tblStylePr>
    <w:tblStylePr w:type="wholeTable">
      <w:rPr>
        <w:rFonts w:ascii="Arial" w:hAnsi="Arial"/>
        <w:color w:val="404040" w:themeColor="accent2" w:themeTint="97" w:themeShade="95"/>
        <w:sz w:val="22"/>
      </w:rPr>
    </w:tblStylePr>
  </w:style>
  <w:style w:type="table" w:styleId="717">
    <w:name w:val="Grid Table 6 Colorful - Accent 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404040" w:themeColor="accent3" w:themeTint="FE" w:themeShade="95"/>
        <w:sz w:val="22"/>
      </w:rPr>
    </w:tblStylePr>
    <w:tblStylePr w:type="firstCol">
      <w:rPr>
        <w:b/>
        <w:color w:val="5E2201" w:themeColor="accent3" w:themeTint="FE" w:themeShade="95"/>
      </w:rPr>
    </w:tblStylePr>
    <w:tblStylePr w:type="firstRow">
      <w:rPr>
        <w:b/>
        <w:color w:val="5E2201" w:themeColor="accent3" w:themeTint="FE" w:themeShade="95"/>
      </w:rPr>
      <w:tcPr>
        <w:tcBorders>
          <w:bottom w:val="single" w:color="000000" w:sz="12" w:space="0" w:themeColor="accent3" w:themeTint="FE"/>
        </w:tcBorders>
      </w:tcPr>
    </w:tblStylePr>
    <w:tblStylePr w:type="lastCol">
      <w:rPr>
        <w:b/>
        <w:color w:val="5E2201" w:themeColor="accent3" w:themeTint="FE" w:themeShade="95"/>
      </w:rPr>
    </w:tblStylePr>
    <w:tblStylePr w:type="lastRow">
      <w:rPr>
        <w:b/>
        <w:color w:val="5E2201" w:themeColor="accent3" w:themeTint="FE" w:themeShade="95"/>
      </w:rPr>
    </w:tblStylePr>
    <w:tblStylePr w:type="wholeTable">
      <w:rPr>
        <w:rFonts w:ascii="Arial" w:hAnsi="Arial"/>
        <w:color w:val="404040" w:themeColor="accent3" w:themeTint="FE" w:themeShade="95"/>
        <w:sz w:val="22"/>
      </w:rPr>
    </w:tblStylePr>
  </w:style>
  <w:style w:type="table" w:styleId="718">
    <w:name w:val="Grid Table 6 Colorful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404040" w:themeColor="accent4" w:themeTint="9A" w:themeShade="95"/>
        <w:sz w:val="22"/>
      </w:rPr>
    </w:tblStylePr>
    <w:tblStylePr w:type="firstCol">
      <w:rPr>
        <w:b/>
        <w:color w:val="9104AB" w:themeColor="accent4" w:themeTint="9A" w:themeShade="95"/>
      </w:rPr>
    </w:tblStylePr>
    <w:tblStylePr w:type="firstRow">
      <w:rPr>
        <w:b/>
        <w:color w:val="9104AB" w:themeColor="accent4" w:themeTint="9A" w:themeShade="95"/>
      </w:rPr>
      <w:tcPr>
        <w:tcBorders>
          <w:bottom w:val="single" w:color="000000" w:sz="12" w:space="0" w:themeColor="accent4" w:themeTint="9A"/>
        </w:tcBorders>
      </w:tcPr>
    </w:tblStylePr>
    <w:tblStylePr w:type="lastCol">
      <w:rPr>
        <w:b/>
        <w:color w:val="9104AB" w:themeColor="accent4" w:themeTint="9A" w:themeShade="95"/>
      </w:rPr>
    </w:tblStylePr>
    <w:tblStylePr w:type="lastRow">
      <w:rPr>
        <w:b/>
        <w:color w:val="9104AB" w:themeColor="accent4" w:themeTint="9A" w:themeShade="95"/>
      </w:rPr>
    </w:tblStylePr>
    <w:tblStylePr w:type="wholeTable">
      <w:rPr>
        <w:rFonts w:ascii="Arial" w:hAnsi="Arial"/>
        <w:color w:val="404040" w:themeColor="accent4" w:themeTint="9A" w:themeShade="95"/>
        <w:sz w:val="22"/>
      </w:rPr>
    </w:tblStylePr>
  </w:style>
  <w:style w:type="table" w:styleId="719">
    <w:name w:val="Grid Table 6 Colorful - Accent 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404040" w:themeColor="accent5" w:themeShade="95"/>
        <w:sz w:val="22"/>
      </w:rPr>
    </w:tblStylePr>
    <w:tblStylePr w:type="firstCol">
      <w:rPr>
        <w:b/>
        <w:color w:val="745700" w:themeColor="accent5" w:themeShade="95"/>
      </w:rPr>
    </w:tblStylePr>
    <w:tblStylePr w:type="firstRow">
      <w:rPr>
        <w:b/>
        <w:color w:val="745700" w:themeColor="accent5" w:themeShade="95"/>
      </w:rPr>
      <w:tcPr>
        <w:tcBorders>
          <w:bottom w:val="single" w:color="000000" w:sz="12" w:space="0" w:themeColor="accent5"/>
        </w:tcBorders>
      </w:tcPr>
    </w:tblStylePr>
    <w:tblStylePr w:type="lastCol">
      <w:rPr>
        <w:b/>
        <w:color w:val="745700" w:themeColor="accent5" w:themeShade="95"/>
      </w:rPr>
    </w:tblStylePr>
    <w:tblStylePr w:type="lastRow">
      <w:rPr>
        <w:b/>
        <w:color w:val="745700" w:themeColor="accent5" w:themeShade="95"/>
      </w:rPr>
    </w:tblStylePr>
    <w:tblStylePr w:type="wholeTable">
      <w:rPr>
        <w:rFonts w:ascii="Arial" w:hAnsi="Arial"/>
        <w:color w:val="404040" w:themeColor="accent5" w:themeShade="95"/>
        <w:sz w:val="22"/>
      </w:rPr>
    </w:tblStylePr>
  </w:style>
  <w:style w:type="table" w:styleId="720">
    <w:name w:val="Grid Table 6 Colorful - Accent 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404040" w:themeColor="accent5" w:themeShade="95"/>
        <w:sz w:val="22"/>
      </w:rPr>
    </w:tblStylePr>
    <w:tblStylePr w:type="firstCol">
      <w:rPr>
        <w:b/>
        <w:color w:val="745700" w:themeColor="accent5" w:themeShade="95"/>
      </w:rPr>
    </w:tblStylePr>
    <w:tblStylePr w:type="firstRow">
      <w:rPr>
        <w:b/>
        <w:color w:val="745700" w:themeColor="accent5" w:themeShade="95"/>
      </w:rPr>
      <w:tcPr>
        <w:tcBorders>
          <w:bottom w:val="single" w:color="000000" w:sz="12" w:space="0" w:themeColor="accent6"/>
        </w:tcBorders>
      </w:tcPr>
    </w:tblStylePr>
    <w:tblStylePr w:type="lastCol">
      <w:rPr>
        <w:b/>
        <w:color w:val="745700" w:themeColor="accent5" w:themeShade="95"/>
      </w:rPr>
    </w:tblStylePr>
    <w:tblStylePr w:type="lastRow">
      <w:rPr>
        <w:b/>
        <w:color w:val="745700" w:themeColor="accent5" w:themeShade="95"/>
      </w:rPr>
    </w:tblStylePr>
    <w:tblStylePr w:type="wholeTable">
      <w:rPr>
        <w:rFonts w:ascii="Arial" w:hAnsi="Arial"/>
        <w:color w:val="404040" w:themeColor="accent5" w:themeShade="95"/>
        <w:sz w:val="22"/>
      </w:rPr>
    </w:tblStylePr>
  </w:style>
  <w:style w:type="table" w:styleId="721">
    <w:name w:val="Grid Table 7 Colorful"/>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0D" w:themeColor="text1" w:themeTint="0D"/>
      </w:tcPr>
    </w:tblStylePr>
    <w:tblStylePr w:type="band1Vert">
      <w:tcPr>
        <w:shd w:val="clear" w:color="FFFFFF" w:themeFill="text1" w:themeFillTint="0D"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style>
  <w:style w:type="table" w:styleId="722">
    <w:name w:val="Grid Table 7 Colorful - Accent 1"/>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1EBF04"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1EBF04" w:themeColor="accent1" w:themeTint="80" w:themeShade="95"/>
        <w:sz w:val="22"/>
      </w:rPr>
    </w:tblStylePr>
    <w:tblStylePr w:type="firstCol">
      <w:rPr>
        <w:rFonts w:ascii="Arial" w:hAnsi="Arial"/>
        <w:i/>
        <w:color w:val="1EBF04" w:themeColor="accent1" w:themeTint="80" w:themeShade="95"/>
        <w:sz w:val="22"/>
      </w:rPr>
      <w:pPr>
        <w:jc w:val="right"/>
      </w:pPr>
      <w:tcPr>
        <w:shd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1EBF04" w:themeColor="accen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1EBF04" w:themeColor="accent1" w:themeTint="80" w:themeShade="95"/>
        <w:sz w:val="22"/>
      </w:rPr>
      <w:tcPr>
        <w:shd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1EBF04" w:themeColor="accent1" w:themeTint="80" w:themeShade="95"/>
        <w:sz w:val="22"/>
      </w:rPr>
      <w:tcPr>
        <w:shd w:val="clear" w:color="FFFFFF" w:themeFill="light1" w:themeColor="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723">
    <w:name w:val="Grid Table 7 Colorful - Accent 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0378AE"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0378AE" w:themeColor="accent2" w:themeTint="97" w:themeShade="95"/>
        <w:sz w:val="22"/>
      </w:rPr>
    </w:tblStylePr>
    <w:tblStylePr w:type="firstCol">
      <w:rPr>
        <w:rFonts w:ascii="Arial" w:hAnsi="Arial"/>
        <w:i/>
        <w:color w:val="0378AE"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0378AE"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0378AE"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0378AE"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724">
    <w:name w:val="Grid Table 7 Colorful - Accent 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E2201"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5E2201" w:themeColor="accent3" w:themeTint="FE" w:themeShade="95"/>
        <w:sz w:val="22"/>
      </w:rPr>
    </w:tblStylePr>
    <w:tblStylePr w:type="firstCol">
      <w:rPr>
        <w:rFonts w:ascii="Arial" w:hAnsi="Arial"/>
        <w:i/>
        <w:color w:val="5E2201" w:themeColor="accent3" w:themeTint="FE" w:themeShade="95"/>
        <w:sz w:val="22"/>
      </w:rPr>
      <w:pPr>
        <w:jc w:val="right"/>
      </w:pPr>
      <w:tcPr>
        <w:shd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E2201" w:themeColor="accent3" w:themeTint="FE"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E2201" w:themeColor="accent3" w:themeTint="FE" w:themeShade="95"/>
        <w:sz w:val="22"/>
      </w:rPr>
      <w:tcPr>
        <w:shd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E2201" w:themeColor="accent3" w:themeTint="FE" w:themeShade="95"/>
        <w:sz w:val="22"/>
      </w:rPr>
      <w:tcPr>
        <w:shd w:val="clear" w:color="FFFFFF" w:themeFill="light1" w:themeColor="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725">
    <w:name w:val="Grid Table 7 Colorful - Accent 4"/>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9104AB"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9104AB" w:themeColor="accent4" w:themeTint="9A" w:themeShade="95"/>
        <w:sz w:val="22"/>
      </w:rPr>
    </w:tblStylePr>
    <w:tblStylePr w:type="firstCol">
      <w:rPr>
        <w:rFonts w:ascii="Arial" w:hAnsi="Arial"/>
        <w:i/>
        <w:color w:val="9104AB"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9104AB"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9104AB"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9104AB"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726">
    <w:name w:val="Grid Table 7 Colorful - Accent 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745700"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745700" w:themeColor="accent5" w:themeShade="95"/>
        <w:sz w:val="22"/>
      </w:rPr>
    </w:tblStylePr>
    <w:tblStylePr w:type="firstCol">
      <w:rPr>
        <w:rFonts w:ascii="Arial" w:hAnsi="Arial"/>
        <w:i/>
        <w:color w:val="745700" w:themeColor="accent5" w:themeShade="95"/>
        <w:sz w:val="22"/>
      </w:rPr>
      <w:pPr>
        <w:jc w:val="right"/>
      </w:pPr>
      <w:tcPr>
        <w:shd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745700" w:themeColor="accent5"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745700" w:themeColor="accent5" w:themeShade="95"/>
        <w:sz w:val="22"/>
      </w:rPr>
      <w:tcPr>
        <w:shd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745700" w:themeColor="accent5" w:themeShade="95"/>
        <w:sz w:val="22"/>
      </w:rPr>
      <w:tcPr>
        <w:shd w:val="clear" w:color="FFFFFF" w:themeFill="light1" w:themeColor="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727">
    <w:name w:val="Grid Table 7 Colorful - Accent 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741111" w:themeColor="accent6"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741111" w:themeColor="accent6" w:themeShade="95"/>
        <w:sz w:val="22"/>
      </w:rPr>
    </w:tblStylePr>
    <w:tblStylePr w:type="firstCol">
      <w:rPr>
        <w:rFonts w:ascii="Arial" w:hAnsi="Arial"/>
        <w:i/>
        <w:color w:val="741111" w:themeColor="accent6" w:themeShade="95"/>
        <w:sz w:val="22"/>
      </w:rPr>
      <w:pPr>
        <w:jc w:val="right"/>
      </w:pPr>
      <w:tcPr>
        <w:shd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741111" w:themeColor="accent6"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741111" w:themeColor="accent6" w:themeShade="95"/>
        <w:sz w:val="22"/>
      </w:rPr>
      <w:tcPr>
        <w:shd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741111" w:themeColor="accent6" w:themeShade="95"/>
        <w:sz w:val="22"/>
      </w:rPr>
      <w:tcPr>
        <w:shd w:val="clear" w:color="FFFFFF" w:themeFill="light1" w:themeColor="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728">
    <w:name w:val="List Table 1 Light"/>
    <w:uiPriority w:val="99"/>
    <w:pPr>
      <w:spacing w:lineRule="auto" w:line="240" w:after="0"/>
    </w:pPr>
    <w:tblPr>
      <w:tblStyleRowBandSize w:val="1"/>
      <w:tblStyleColBandSize w:val="1"/>
      <w:tblInd w:w="0" w:type="dxa"/>
    </w:tblPr>
    <w:tblStylePr w:type="band1Horz">
      <w:tcPr>
        <w:shd w:val="clear" w:color="FFFFFF" w:themeFill="text1" w:themeFillTint="40" w:themeColor="text1" w:themeTint="40"/>
      </w:tcPr>
    </w:tblStylePr>
    <w:tblStylePr w:type="band1Vert">
      <w:tcPr>
        <w:shd w:val="clear" w:color="FFFFF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729">
    <w:name w:val="List Table 1 Light - Accent 1"/>
    <w:uiPriority w:val="99"/>
    <w:pPr>
      <w:spacing w:lineRule="auto" w:line="240" w:after="0"/>
    </w:pPr>
    <w:tblPr>
      <w:tblStyleRowBandSize w:val="1"/>
      <w:tblStyleColBandSize w:val="1"/>
      <w:tblInd w:w="0" w:type="dxa"/>
    </w:tblPr>
    <w:tblStylePr w:type="band1Horz">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730">
    <w:name w:val="List Table 1 Light - Accent 2"/>
    <w:uiPriority w:val="99"/>
    <w:pPr>
      <w:spacing w:lineRule="auto" w:line="240" w:after="0"/>
    </w:pPr>
    <w:tblPr>
      <w:tblStyleRowBandSize w:val="1"/>
      <w:tblStyleColBandSize w:val="1"/>
      <w:tblInd w:w="0" w:type="dxa"/>
    </w:tblPr>
    <w:tblStylePr w:type="band1Horz">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731">
    <w:name w:val="List Table 1 Light - Accent 3"/>
    <w:uiPriority w:val="99"/>
    <w:pPr>
      <w:spacing w:lineRule="auto" w:line="240" w:after="0"/>
    </w:pPr>
    <w:tblPr>
      <w:tblStyleRowBandSize w:val="1"/>
      <w:tblStyleColBandSize w:val="1"/>
      <w:tblInd w:w="0" w:type="dxa"/>
    </w:tblPr>
    <w:tblStylePr w:type="band1Horz">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732">
    <w:name w:val="List Table 1 Light - Accent 4"/>
    <w:uiPriority w:val="99"/>
    <w:pPr>
      <w:spacing w:lineRule="auto" w:line="240" w:after="0"/>
    </w:pPr>
    <w:tblPr>
      <w:tblStyleRowBandSize w:val="1"/>
      <w:tblStyleColBandSize w:val="1"/>
      <w:tblInd w:w="0" w:type="dxa"/>
    </w:tblPr>
    <w:tblStylePr w:type="band1Horz">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733">
    <w:name w:val="List Table 1 Light - Accent 5"/>
    <w:uiPriority w:val="99"/>
    <w:pPr>
      <w:spacing w:lineRule="auto" w:line="240" w:after="0"/>
    </w:pPr>
    <w:tblPr>
      <w:tblStyleRowBandSize w:val="1"/>
      <w:tblStyleColBandSize w:val="1"/>
      <w:tblInd w:w="0" w:type="dxa"/>
    </w:tblPr>
    <w:tblStylePr w:type="band1Horz">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734">
    <w:name w:val="List Table 1 Light - Accent 6"/>
    <w:uiPriority w:val="99"/>
    <w:pPr>
      <w:spacing w:lineRule="auto" w:line="240" w:after="0"/>
    </w:pPr>
    <w:tblPr>
      <w:tblStyleRowBandSize w:val="1"/>
      <w:tblStyleColBandSize w:val="1"/>
      <w:tblInd w:w="0" w:type="dxa"/>
    </w:tblPr>
    <w:tblStylePr w:type="band1Horz">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735">
    <w:name w:val="List Table 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736">
    <w:name w:val="List Table 2 - Accent 1"/>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737">
    <w:name w:val="List Table 2 - Accent 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738">
    <w:name w:val="List Table 2 - Accent 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739">
    <w:name w:val="List Table 2 - Accent 4"/>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740">
    <w:name w:val="List Table 2 - Accent 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741">
    <w:name w:val="List Table 2 - Accent 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742">
    <w:name w:val="List Table 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43">
    <w:name w:val="List Table 3 - Accent 1"/>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44">
    <w:name w:val="List Table 3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Pr>
    </w:tblStylePr>
    <w:tblStylePr w:type="lastCol">
      <w:rPr>
        <w:b/>
        <w:color w:val="404040"/>
      </w:rPr>
    </w:tblStylePr>
    <w:tblStylePr w:type="lastRow">
      <w:rPr>
        <w:b/>
        <w:color w:val="404040"/>
      </w:rPr>
    </w:tblStylePr>
  </w:style>
  <w:style w:type="table" w:styleId="745">
    <w:name w:val="List Table 3 - Accent 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Fill="accent3" w:themeFillTint="98" w:themeColor="accent3" w:themeTint="98"/>
      </w:tcPr>
    </w:tblStylePr>
    <w:tblStylePr w:type="lastCol">
      <w:rPr>
        <w:b/>
        <w:color w:val="404040"/>
      </w:rPr>
    </w:tblStylePr>
    <w:tblStylePr w:type="lastRow">
      <w:rPr>
        <w:b/>
        <w:color w:val="404040"/>
      </w:rPr>
    </w:tblStylePr>
  </w:style>
  <w:style w:type="table" w:styleId="746">
    <w:name w:val="List Table 3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Pr>
    </w:tblStylePr>
    <w:tblStylePr w:type="lastCol">
      <w:rPr>
        <w:b/>
        <w:color w:val="404040"/>
      </w:rPr>
    </w:tblStylePr>
    <w:tblStylePr w:type="lastRow">
      <w:rPr>
        <w:b/>
        <w:color w:val="404040"/>
      </w:rPr>
    </w:tblStylePr>
  </w:style>
  <w:style w:type="table" w:styleId="747">
    <w:name w:val="List Table 3 - Accent 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Fill="accent5" w:themeFillTint="9A" w:themeColor="accent5" w:themeTint="9A"/>
      </w:tcPr>
    </w:tblStylePr>
    <w:tblStylePr w:type="lastCol">
      <w:rPr>
        <w:b/>
        <w:color w:val="404040"/>
      </w:rPr>
    </w:tblStylePr>
    <w:tblStylePr w:type="lastRow">
      <w:rPr>
        <w:b/>
        <w:color w:val="404040"/>
      </w:rPr>
    </w:tblStylePr>
  </w:style>
  <w:style w:type="table" w:styleId="748">
    <w:name w:val="List Table 3 - Accent 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Fill="accent6" w:themeFillTint="98" w:themeColor="accent6" w:themeTint="98"/>
      </w:tcPr>
    </w:tblStylePr>
    <w:tblStylePr w:type="lastCol">
      <w:rPr>
        <w:b/>
        <w:color w:val="404040"/>
      </w:rPr>
    </w:tblStylePr>
    <w:tblStylePr w:type="lastRow">
      <w:rPr>
        <w:b/>
        <w:color w:val="404040"/>
      </w:rPr>
    </w:tblStylePr>
  </w:style>
  <w:style w:type="table" w:styleId="749">
    <w:name w:val="List Table 4"/>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50">
    <w:name w:val="List Table 4 - Accent 1"/>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51">
    <w:name w:val="List Table 4 - Accent 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FFFFFF" w:themeFill="accent2" w:themeColor="accent2"/>
      </w:tcPr>
    </w:tblStylePr>
    <w:tblStylePr w:type="lastCol">
      <w:rPr>
        <w:b/>
        <w:color w:val="404040"/>
      </w:rPr>
    </w:tblStylePr>
    <w:tblStylePr w:type="lastRow">
      <w:rPr>
        <w:b/>
        <w:color w:val="404040"/>
      </w:rPr>
    </w:tblStylePr>
  </w:style>
  <w:style w:type="table" w:styleId="752">
    <w:name w:val="List Table 4 - Accent 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FFFFFF" w:themeFill="accent3" w:themeColor="accent3"/>
      </w:tcPr>
    </w:tblStylePr>
    <w:tblStylePr w:type="lastCol">
      <w:rPr>
        <w:b/>
        <w:color w:val="404040"/>
      </w:rPr>
    </w:tblStylePr>
    <w:tblStylePr w:type="lastRow">
      <w:rPr>
        <w:b/>
        <w:color w:val="404040"/>
      </w:rPr>
    </w:tblStylePr>
  </w:style>
  <w:style w:type="table" w:styleId="753">
    <w:name w:val="List Table 4 - Accent 4"/>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FFFFFF" w:themeFill="accent4" w:themeColor="accent4"/>
      </w:tcPr>
    </w:tblStylePr>
    <w:tblStylePr w:type="lastCol">
      <w:rPr>
        <w:b/>
        <w:color w:val="404040"/>
      </w:rPr>
    </w:tblStylePr>
    <w:tblStylePr w:type="lastRow">
      <w:rPr>
        <w:b/>
        <w:color w:val="404040"/>
      </w:rPr>
    </w:tblStylePr>
  </w:style>
  <w:style w:type="table" w:styleId="754">
    <w:name w:val="List Table 4 - Accent 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FFFFFF" w:themeFill="accent5" w:themeColor="accent5"/>
      </w:tcPr>
    </w:tblStylePr>
    <w:tblStylePr w:type="lastCol">
      <w:rPr>
        <w:b/>
        <w:color w:val="404040"/>
      </w:rPr>
    </w:tblStylePr>
    <w:tblStylePr w:type="lastRow">
      <w:rPr>
        <w:b/>
        <w:color w:val="404040"/>
      </w:rPr>
    </w:tblStylePr>
  </w:style>
  <w:style w:type="table" w:styleId="755">
    <w:name w:val="List Table 4 - Accent 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FFFFF" w:themeFill="accent6" w:themeColor="accent6"/>
      </w:tcPr>
    </w:tblStylePr>
    <w:tblStylePr w:type="lastCol">
      <w:rPr>
        <w:b/>
        <w:color w:val="404040"/>
      </w:rPr>
    </w:tblStylePr>
    <w:tblStylePr w:type="lastRow">
      <w:rPr>
        <w:b/>
        <w:color w:val="404040"/>
      </w:rPr>
    </w:tblStylePr>
  </w:style>
  <w:style w:type="table" w:styleId="756">
    <w:name w:val="List Table 5 Dark"/>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Fill="text1" w:themeFillTint="80" w:themeColor="text1" w:themeTint="80"/>
    </w:tblPr>
    <w:tblStylePr w:type="band1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1Vert">
      <w:tcPr>
        <w:shd w:val="clear" w:color="FFFFFF" w:themeFill="text1" w:themeFillTint="80" w:themeColor="text1" w:themeTint="80"/>
        <w:tcBorders>
          <w:left w:val="single" w:color="000000" w:sz="4" w:space="0" w:themeColor="light1"/>
          <w:right w:val="single" w:color="000000" w:sz="4" w:space="0" w:themeColor="light1"/>
        </w:tcBorders>
      </w:tcPr>
    </w:tblStylePr>
    <w:tblStylePr w:type="band2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Fill="text1" w:themeFillTint="80"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1"/>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Fill="accent1" w:themeColor="accent1"/>
    </w:tblPr>
    <w:tblStylePr w:type="band1Horz">
      <w:tcPr>
        <w:shd w:val="clear" w:color="FFFFFF" w:themeFill="accent1" w:themeColor="accent1"/>
        <w:tcBorders>
          <w:top w:val="single" w:color="000000" w:sz="4" w:space="0" w:themeColor="light1"/>
          <w:bottom w:val="single" w:color="000000" w:sz="4" w:space="0" w:themeColor="light1"/>
        </w:tcBorders>
      </w:tcPr>
    </w:tblStylePr>
    <w:tblStylePr w:type="band1Vert">
      <w:tcPr>
        <w:shd w:val="clear" w:color="FFFFFF" w:themeFill="accent1" w:themeColor="accent1"/>
        <w:tcBorders>
          <w:left w:val="single" w:color="000000" w:sz="4" w:space="0" w:themeColor="light1"/>
          <w:right w:val="single" w:color="000000" w:sz="4" w:space="0" w:themeColor="light1"/>
        </w:tcBorders>
      </w:tcPr>
    </w:tblStylePr>
    <w:tblStylePr w:type="band2Horz">
      <w:tcPr>
        <w:shd w:val="clear" w:color="FFFFFF" w:themeFill="accent1"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Fill="accent1"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5 Dark - Accent 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Fill="accent2" w:themeFillTint="97" w:themeColor="accent2" w:themeTint="97"/>
    </w:tblPr>
    <w:tblStylePr w:type="band1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1Vert">
      <w:tcPr>
        <w:shd w:val="clear" w:color="FFFFFF" w:themeFill="accent2" w:themeFillTint="97" w:themeColor="accent2" w:themeTint="97"/>
        <w:tcBorders>
          <w:left w:val="single" w:color="000000" w:sz="4" w:space="0" w:themeColor="light1"/>
          <w:right w:val="single" w:color="000000" w:sz="4" w:space="0" w:themeColor="light1"/>
        </w:tcBorders>
      </w:tcPr>
    </w:tblStylePr>
    <w:tblStylePr w:type="band2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Fill="accent2" w:themeFillTint="97"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9">
    <w:name w:val="List Table 5 Dark - Accent 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Fill="accent3" w:themeFillTint="98" w:themeColor="accent3" w:themeTint="98"/>
    </w:tblPr>
    <w:tblStylePr w:type="band1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1Vert">
      <w:tcPr>
        <w:shd w:val="clear" w:color="FFFFFF" w:themeFill="accent3" w:themeFillTint="98" w:themeColor="accent3" w:themeTint="98"/>
        <w:tcBorders>
          <w:left w:val="single" w:color="000000" w:sz="4" w:space="0" w:themeColor="light1"/>
          <w:right w:val="single" w:color="000000" w:sz="4" w:space="0" w:themeColor="light1"/>
        </w:tcBorders>
      </w:tcPr>
    </w:tblStylePr>
    <w:tblStylePr w:type="band2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Fill="accent3" w:themeFillTint="98"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0">
    <w:name w:val="List Table 5 Dark - Accent 4"/>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Fill="accent4" w:themeFillTint="9A" w:themeColor="accent4" w:themeTint="9A"/>
    </w:tblPr>
    <w:tblStylePr w:type="band1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1Vert">
      <w:tcPr>
        <w:shd w:val="clear" w:color="FFFFFF" w:themeFill="accent4" w:themeFillTint="9A" w:themeColor="accent4" w:themeTint="9A"/>
        <w:tcBorders>
          <w:left w:val="single" w:color="000000" w:sz="4" w:space="0" w:themeColor="light1"/>
          <w:right w:val="single" w:color="000000" w:sz="4" w:space="0" w:themeColor="light1"/>
        </w:tcBorders>
      </w:tcPr>
    </w:tblStylePr>
    <w:tblStylePr w:type="band2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Fill="accent4" w:themeFillTint="9A"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1">
    <w:name w:val="List Table 5 Dark - Accent 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Fill="accent5" w:themeFillTint="9A" w:themeColor="accent5" w:themeTint="9A"/>
    </w:tblPr>
    <w:tblStylePr w:type="band1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1Vert">
      <w:tcPr>
        <w:shd w:val="clear" w:color="FFFFFF" w:themeFill="accent5" w:themeFillTint="9A" w:themeColor="accent5" w:themeTint="9A"/>
        <w:tcBorders>
          <w:left w:val="single" w:color="000000" w:sz="4" w:space="0" w:themeColor="light1"/>
          <w:right w:val="single" w:color="000000" w:sz="4" w:space="0" w:themeColor="light1"/>
        </w:tcBorders>
      </w:tcPr>
    </w:tblStylePr>
    <w:tblStylePr w:type="band2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Fill="accent5" w:themeFillTint="9A"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2">
    <w:name w:val="List Table 5 Dark - Accent 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Fill="accent6" w:themeFillTint="98" w:themeColor="accent6" w:themeTint="98"/>
    </w:tblPr>
    <w:tblStylePr w:type="band1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1Vert">
      <w:tcPr>
        <w:shd w:val="clear" w:color="FFFFFF" w:themeFill="accent6" w:themeFillTint="98" w:themeColor="accent6" w:themeTint="98"/>
        <w:tcBorders>
          <w:left w:val="single" w:color="000000" w:sz="4" w:space="0" w:themeColor="light1"/>
          <w:right w:val="single" w:color="000000" w:sz="4" w:space="0" w:themeColor="light1"/>
        </w:tcBorders>
      </w:tcPr>
    </w:tblStylePr>
    <w:tblStylePr w:type="band2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Fill="accent6" w:themeFillTint="98"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3">
    <w:name w:val="List Table 6 Colorful"/>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764">
    <w:name w:val="List Table 6 Colorful - Accent 1"/>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404040" w:themeColor="accent1" w:themeShade="95"/>
        <w:sz w:val="22"/>
      </w:rPr>
    </w:tblStylePr>
    <w:tblStylePr w:type="firstCol">
      <w:rPr>
        <w:b/>
        <w:color w:val="0E5E01" w:themeColor="accent1" w:themeShade="95"/>
      </w:rPr>
    </w:tblStylePr>
    <w:tblStylePr w:type="firstRow">
      <w:rPr>
        <w:b/>
        <w:color w:val="0E5E01" w:themeColor="accent1" w:themeShade="95"/>
      </w:rPr>
      <w:tcPr>
        <w:tcBorders>
          <w:bottom w:val="single" w:color="000000" w:sz="4" w:space="0" w:themeColor="accent1"/>
        </w:tcBorders>
      </w:tcPr>
    </w:tblStylePr>
    <w:tblStylePr w:type="lastCol">
      <w:rPr>
        <w:b/>
        <w:color w:val="0E5E01" w:themeColor="accent1" w:themeShade="95"/>
      </w:rPr>
    </w:tblStylePr>
    <w:tblStylePr w:type="lastRow">
      <w:rPr>
        <w:b/>
        <w:color w:val="0E5E01" w:themeColor="accent1" w:themeShade="95"/>
      </w:rPr>
      <w:tcPr>
        <w:tcBorders>
          <w:top w:val="single" w:color="000000" w:sz="4" w:space="0" w:themeColor="accent1"/>
        </w:tcBorders>
      </w:tcPr>
    </w:tblStylePr>
  </w:style>
  <w:style w:type="table" w:styleId="765">
    <w:name w:val="List Table 6 Colorful - Accent 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404040" w:themeColor="accent2" w:themeTint="97" w:themeShade="95"/>
        <w:sz w:val="22"/>
      </w:rPr>
    </w:tblStylePr>
    <w:tblStylePr w:type="firstCol">
      <w:rPr>
        <w:b/>
        <w:color w:val="0378AE" w:themeColor="accent2" w:themeTint="97" w:themeShade="95"/>
      </w:rPr>
    </w:tblStylePr>
    <w:tblStylePr w:type="firstRow">
      <w:rPr>
        <w:b/>
        <w:color w:val="0378AE" w:themeColor="accent2" w:themeTint="97" w:themeShade="95"/>
      </w:rPr>
      <w:tcPr>
        <w:tcBorders>
          <w:bottom w:val="single" w:color="000000" w:sz="4" w:space="0" w:themeColor="accent2" w:themeTint="97"/>
        </w:tcBorders>
      </w:tcPr>
    </w:tblStylePr>
    <w:tblStylePr w:type="lastCol">
      <w:rPr>
        <w:b/>
        <w:color w:val="0378AE" w:themeColor="accent2" w:themeTint="97" w:themeShade="95"/>
      </w:rPr>
    </w:tblStylePr>
    <w:tblStylePr w:type="lastRow">
      <w:rPr>
        <w:b/>
        <w:color w:val="0378AE" w:themeColor="accent2" w:themeTint="97" w:themeShade="95"/>
      </w:rPr>
      <w:tcPr>
        <w:tcBorders>
          <w:top w:val="single" w:color="000000" w:sz="4" w:space="0" w:themeColor="accent2" w:themeTint="97"/>
        </w:tcBorders>
      </w:tcPr>
    </w:tblStylePr>
  </w:style>
  <w:style w:type="table" w:styleId="766">
    <w:name w:val="List Table 6 Colorful - Accent 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404040" w:themeColor="accent3" w:themeTint="98" w:themeShade="95"/>
        <w:sz w:val="22"/>
      </w:rPr>
    </w:tblStylePr>
    <w:tblStylePr w:type="firstCol">
      <w:rPr>
        <w:b/>
        <w:color w:val="AB3B04" w:themeColor="accent3" w:themeTint="98" w:themeShade="95"/>
      </w:rPr>
    </w:tblStylePr>
    <w:tblStylePr w:type="firstRow">
      <w:rPr>
        <w:b/>
        <w:color w:val="AB3B04" w:themeColor="accent3" w:themeTint="98" w:themeShade="95"/>
      </w:rPr>
      <w:tcPr>
        <w:tcBorders>
          <w:bottom w:val="single" w:color="000000" w:sz="4" w:space="0" w:themeColor="accent3" w:themeTint="98"/>
        </w:tcBorders>
      </w:tcPr>
    </w:tblStylePr>
    <w:tblStylePr w:type="lastCol">
      <w:rPr>
        <w:b/>
        <w:color w:val="AB3B04" w:themeColor="accent3" w:themeTint="98" w:themeShade="95"/>
      </w:rPr>
    </w:tblStylePr>
    <w:tblStylePr w:type="lastRow">
      <w:rPr>
        <w:b/>
        <w:color w:val="AB3B04" w:themeColor="accent3" w:themeTint="98" w:themeShade="95"/>
      </w:rPr>
      <w:tcPr>
        <w:tcBorders>
          <w:top w:val="single" w:color="000000" w:sz="4" w:space="0" w:themeColor="accent3" w:themeTint="98"/>
        </w:tcBorders>
      </w:tcPr>
    </w:tblStylePr>
  </w:style>
  <w:style w:type="table" w:styleId="767">
    <w:name w:val="List Table 6 Colorful - Accent 4"/>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404040" w:themeColor="accent4" w:themeTint="9A" w:themeShade="95"/>
        <w:sz w:val="22"/>
      </w:rPr>
    </w:tblStylePr>
    <w:tblStylePr w:type="firstCol">
      <w:rPr>
        <w:b/>
        <w:color w:val="9104AB" w:themeColor="accent4" w:themeTint="9A" w:themeShade="95"/>
      </w:rPr>
    </w:tblStylePr>
    <w:tblStylePr w:type="firstRow">
      <w:rPr>
        <w:b/>
        <w:color w:val="9104AB" w:themeColor="accent4" w:themeTint="9A" w:themeShade="95"/>
      </w:rPr>
      <w:tcPr>
        <w:tcBorders>
          <w:bottom w:val="single" w:color="000000" w:sz="4" w:space="0" w:themeColor="accent4" w:themeTint="9A"/>
        </w:tcBorders>
      </w:tcPr>
    </w:tblStylePr>
    <w:tblStylePr w:type="lastCol">
      <w:rPr>
        <w:b/>
        <w:color w:val="9104AB" w:themeColor="accent4" w:themeTint="9A" w:themeShade="95"/>
      </w:rPr>
    </w:tblStylePr>
    <w:tblStylePr w:type="lastRow">
      <w:rPr>
        <w:b/>
        <w:color w:val="9104AB" w:themeColor="accent4" w:themeTint="9A" w:themeShade="95"/>
      </w:rPr>
      <w:tcPr>
        <w:tcBorders>
          <w:top w:val="single" w:color="000000" w:sz="4" w:space="0" w:themeColor="accent4" w:themeTint="9A"/>
        </w:tcBorders>
      </w:tcPr>
    </w:tblStylePr>
  </w:style>
  <w:style w:type="table" w:styleId="768">
    <w:name w:val="List Table 6 Colorful - Accent 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404040" w:themeColor="accent5" w:themeTint="9A" w:themeShade="95"/>
        <w:sz w:val="22"/>
      </w:rPr>
    </w:tblStylePr>
    <w:tblStylePr w:type="firstCol">
      <w:rPr>
        <w:b/>
        <w:color w:val="BA8700" w:themeColor="accent5" w:themeTint="9A" w:themeShade="95"/>
      </w:rPr>
    </w:tblStylePr>
    <w:tblStylePr w:type="firstRow">
      <w:rPr>
        <w:b/>
        <w:color w:val="BA8700" w:themeColor="accent5" w:themeTint="9A" w:themeShade="95"/>
      </w:rPr>
      <w:tcPr>
        <w:tcBorders>
          <w:bottom w:val="single" w:color="000000" w:sz="4" w:space="0" w:themeColor="accent5" w:themeTint="9A"/>
        </w:tcBorders>
      </w:tcPr>
    </w:tblStylePr>
    <w:tblStylePr w:type="lastCol">
      <w:rPr>
        <w:b/>
        <w:color w:val="BA8700" w:themeColor="accent5" w:themeTint="9A" w:themeShade="95"/>
      </w:rPr>
    </w:tblStylePr>
    <w:tblStylePr w:type="lastRow">
      <w:rPr>
        <w:b/>
        <w:color w:val="BA8700" w:themeColor="accent5" w:themeTint="9A" w:themeShade="95"/>
      </w:rPr>
      <w:tcPr>
        <w:tcBorders>
          <w:top w:val="single" w:color="000000" w:sz="4" w:space="0" w:themeColor="accent5" w:themeTint="9A"/>
        </w:tcBorders>
      </w:tcPr>
    </w:tblStylePr>
  </w:style>
  <w:style w:type="table" w:styleId="769">
    <w:name w:val="List Table 6 Colorful - Accent 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404040" w:themeColor="accent6" w:themeTint="98" w:themeShade="95"/>
        <w:sz w:val="22"/>
      </w:rPr>
    </w:tblStylePr>
    <w:tblStylePr w:type="firstCol">
      <w:rPr>
        <w:b/>
        <w:color w:val="AD1A1A" w:themeColor="accent6" w:themeTint="98" w:themeShade="95"/>
      </w:rPr>
    </w:tblStylePr>
    <w:tblStylePr w:type="firstRow">
      <w:rPr>
        <w:b/>
        <w:color w:val="AD1A1A" w:themeColor="accent6" w:themeTint="98" w:themeShade="95"/>
      </w:rPr>
      <w:tcPr>
        <w:tcBorders>
          <w:bottom w:val="single" w:color="000000" w:sz="4" w:space="0" w:themeColor="accent6" w:themeTint="98"/>
        </w:tcBorders>
      </w:tcPr>
    </w:tblStylePr>
    <w:tblStylePr w:type="lastCol">
      <w:rPr>
        <w:b/>
        <w:color w:val="AD1A1A" w:themeColor="accent6" w:themeTint="98" w:themeShade="95"/>
      </w:rPr>
    </w:tblStylePr>
    <w:tblStylePr w:type="lastRow">
      <w:rPr>
        <w:b/>
        <w:color w:val="AD1A1A" w:themeColor="accent6" w:themeTint="98" w:themeShade="95"/>
      </w:rPr>
      <w:tcPr>
        <w:tcBorders>
          <w:top w:val="single" w:color="000000" w:sz="4" w:space="0" w:themeColor="accent6" w:themeTint="98"/>
        </w:tcBorders>
      </w:tcPr>
    </w:tblStylePr>
  </w:style>
  <w:style w:type="table" w:styleId="770">
    <w:name w:val="List Table 7 Colorful"/>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771">
    <w:name w:val="List Table 7 Colorful - Accent 1"/>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0E5E01"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0E5E01" w:themeColor="accent1" w:themeShade="95"/>
        <w:sz w:val="22"/>
      </w:rPr>
    </w:tblStylePr>
    <w:tblStylePr w:type="firstCol">
      <w:rPr>
        <w:rFonts w:ascii="Arial" w:hAnsi="Arial"/>
        <w:i/>
        <w:color w:val="0E5E01" w:themeColor="accent1" w:themeShade="95"/>
        <w:sz w:val="22"/>
      </w:rPr>
      <w:pPr>
        <w:jc w:val="right"/>
      </w:pPr>
      <w:tcPr>
        <w:shd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0E5E01" w:themeColor="accent1"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0E5E01" w:themeColor="accent1" w:themeShade="95"/>
        <w:sz w:val="22"/>
      </w:rPr>
      <w:tcPr>
        <w:shd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0E5E01" w:themeColor="accent1" w:themeShade="95"/>
        <w:sz w:val="22"/>
      </w:rPr>
      <w:tcPr>
        <w:shd w:val="clear" w:color="FFFFFF" w:themeFill="light1" w:themeColor="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0E5E01" w:themeColor="accent1" w:themeShade="95"/>
        <w:sz w:val="22"/>
      </w:rPr>
    </w:tblStylePr>
  </w:style>
  <w:style w:type="table" w:styleId="772">
    <w:name w:val="List Table 7 Colorful - Accent 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0378AE"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0378AE" w:themeColor="accent2" w:themeTint="97" w:themeShade="95"/>
        <w:sz w:val="22"/>
      </w:rPr>
    </w:tblStylePr>
    <w:tblStylePr w:type="firstCol">
      <w:rPr>
        <w:rFonts w:ascii="Arial" w:hAnsi="Arial"/>
        <w:i/>
        <w:color w:val="0378AE"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0378AE"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0378AE"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0378AE"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0378AE" w:themeColor="accent2" w:themeTint="97" w:themeShade="95"/>
        <w:sz w:val="22"/>
      </w:rPr>
    </w:tblStylePr>
  </w:style>
  <w:style w:type="table" w:styleId="773">
    <w:name w:val="List Table 7 Colorful - Accent 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AB3B04"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AB3B04" w:themeColor="accent3" w:themeTint="98" w:themeShade="95"/>
        <w:sz w:val="22"/>
      </w:rPr>
    </w:tblStylePr>
    <w:tblStylePr w:type="firstCol">
      <w:rPr>
        <w:rFonts w:ascii="Arial" w:hAnsi="Arial"/>
        <w:i/>
        <w:color w:val="AB3B04" w:themeColor="accent3" w:themeTint="98" w:themeShade="95"/>
        <w:sz w:val="22"/>
      </w:rPr>
      <w:pPr>
        <w:jc w:val="right"/>
      </w:pPr>
      <w:tcPr>
        <w:shd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AB3B04" w:themeColor="accent3"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AB3B04" w:themeColor="accent3" w:themeTint="98" w:themeShade="95"/>
        <w:sz w:val="22"/>
      </w:rPr>
      <w:tcPr>
        <w:shd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AB3B04" w:themeColor="accent3" w:themeTint="98" w:themeShade="95"/>
        <w:sz w:val="22"/>
      </w:rPr>
      <w:tcPr>
        <w:shd w:val="clear" w:color="FFFFFF" w:themeFill="light1" w:themeColor="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AB3B04" w:themeColor="accent3" w:themeTint="98" w:themeShade="95"/>
        <w:sz w:val="22"/>
      </w:rPr>
    </w:tblStylePr>
  </w:style>
  <w:style w:type="table" w:styleId="774">
    <w:name w:val="List Table 7 Colorful - Accent 4"/>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9104AB"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9104AB" w:themeColor="accent4" w:themeTint="9A" w:themeShade="95"/>
        <w:sz w:val="22"/>
      </w:rPr>
    </w:tblStylePr>
    <w:tblStylePr w:type="firstCol">
      <w:rPr>
        <w:rFonts w:ascii="Arial" w:hAnsi="Arial"/>
        <w:i/>
        <w:color w:val="9104AB"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9104AB"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9104AB"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9104AB"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9104AB" w:themeColor="accent4" w:themeTint="9A" w:themeShade="95"/>
        <w:sz w:val="22"/>
      </w:rPr>
    </w:tblStylePr>
  </w:style>
  <w:style w:type="table" w:styleId="775">
    <w:name w:val="List Table 7 Colorful - Accent 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BA870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BA8700" w:themeColor="accent5" w:themeTint="9A" w:themeShade="95"/>
        <w:sz w:val="22"/>
      </w:rPr>
    </w:tblStylePr>
    <w:tblStylePr w:type="firstCol">
      <w:rPr>
        <w:rFonts w:ascii="Arial" w:hAnsi="Arial"/>
        <w:i/>
        <w:color w:val="BA8700" w:themeColor="accent5" w:themeTint="9A" w:themeShade="95"/>
        <w:sz w:val="22"/>
      </w:rPr>
      <w:pPr>
        <w:jc w:val="right"/>
      </w:pPr>
      <w:tcPr>
        <w:shd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BA8700" w:themeColor="accent5"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BA8700" w:themeColor="accent5" w:themeTint="9A" w:themeShade="95"/>
        <w:sz w:val="22"/>
      </w:rPr>
      <w:tcPr>
        <w:shd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BA8700" w:themeColor="accent5" w:themeTint="9A" w:themeShade="95"/>
        <w:sz w:val="22"/>
      </w:rPr>
      <w:tcPr>
        <w:shd w:val="clear" w:color="FFFFFF" w:themeFill="light1" w:themeColor="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BA8700" w:themeColor="accent5" w:themeTint="9A" w:themeShade="95"/>
        <w:sz w:val="22"/>
      </w:rPr>
    </w:tblStylePr>
  </w:style>
  <w:style w:type="table" w:styleId="776">
    <w:name w:val="List Table 7 Colorful - Accent 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AD1A1A"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AD1A1A" w:themeColor="accent6" w:themeTint="98" w:themeShade="95"/>
        <w:sz w:val="22"/>
      </w:rPr>
    </w:tblStylePr>
    <w:tblStylePr w:type="firstCol">
      <w:rPr>
        <w:rFonts w:ascii="Arial" w:hAnsi="Arial"/>
        <w:i/>
        <w:color w:val="AD1A1A" w:themeColor="accent6" w:themeTint="98" w:themeShade="95"/>
        <w:sz w:val="22"/>
      </w:rPr>
      <w:pPr>
        <w:jc w:val="right"/>
      </w:pPr>
      <w:tcPr>
        <w:shd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AD1A1A" w:themeColor="accent6"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AD1A1A" w:themeColor="accent6" w:themeTint="98" w:themeShade="95"/>
        <w:sz w:val="22"/>
      </w:rPr>
      <w:tcPr>
        <w:shd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AD1A1A" w:themeColor="accent6" w:themeTint="98" w:themeShade="95"/>
        <w:sz w:val="22"/>
      </w:rPr>
      <w:tcPr>
        <w:shd w:val="clear" w:color="FFFFFF" w:themeFill="light1" w:themeColor="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AD1A1A" w:themeColor="accent6" w:themeTint="98" w:themeShade="95"/>
        <w:sz w:val="22"/>
      </w:rPr>
    </w:tblStylePr>
  </w:style>
  <w:style w:type="table" w:styleId="777">
    <w:name w:val="Lined - Accent"/>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778">
    <w:name w:val="Lined - Accent 1"/>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779">
    <w:name w:val="Lined - Accent 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780">
    <w:name w:val="Lined - Accent 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781">
    <w:name w:val="Lined - Accent 4"/>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782">
    <w:name w:val="Lined - Accent 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783">
    <w:name w:val="Lined - Accent 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784">
    <w:name w:val="Bordered &amp; Lined - Accent"/>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785">
    <w:name w:val="Bordered &amp; Lined - Accent 1"/>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786">
    <w:name w:val="Bordered &amp; Lined - Accent 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787">
    <w:name w:val="Bordered &amp; Lined - Accent 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788">
    <w:name w:val="Bordered &amp; Lined - Accent 4"/>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789">
    <w:name w:val="Bordered &amp; Lined - Accent 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790">
    <w:name w:val="Bordered &amp; Lined - Accent 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791">
    <w:name w:val="Bordered"/>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792">
    <w:name w:val="Bordered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793">
    <w:name w:val="Bordered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794">
    <w:name w:val="Bordered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795">
    <w:name w:val="Bordered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796">
    <w:name w:val="Bordered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797">
    <w:name w:val="Bordered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paragraph" w:styleId="798" w:default="1">
    <w:name w:val="Normal"/>
    <w:basedOn w:val="911"/>
    <w:qFormat/>
    <w:rPr>
      <w:rFonts w:ascii="Times New Roman" w:hAnsi="Times New Roman" w:cs="Times New Roman" w:eastAsia="Times New Roman"/>
      <w:color w:val="000000"/>
      <w:sz w:val="24"/>
      <w:lang w:val="ru-RU"/>
    </w:rPr>
    <w:pPr>
      <w:jc w:val="left"/>
      <w:spacing w:after="0" w:before="0"/>
    </w:pPr>
  </w:style>
  <w:style w:type="paragraph" w:styleId="799">
    <w:name w:val="Heading 1"/>
    <w:basedOn w:val="892"/>
    <w:qFormat/>
    <w:rPr>
      <w:rFonts w:ascii="Arial" w:hAnsi="Arial" w:cs="Arial" w:eastAsia="Arial"/>
      <w:sz w:val="40"/>
    </w:rPr>
    <w:pPr>
      <w:spacing w:after="200" w:before="480"/>
    </w:pPr>
  </w:style>
  <w:style w:type="paragraph" w:styleId="800">
    <w:name w:val="Heading 2"/>
    <w:basedOn w:val="892"/>
    <w:qFormat/>
    <w:rPr>
      <w:rFonts w:ascii="Arial" w:hAnsi="Arial" w:cs="Arial" w:eastAsia="Arial"/>
      <w:sz w:val="34"/>
    </w:rPr>
    <w:pPr>
      <w:spacing w:after="200" w:before="360"/>
    </w:pPr>
  </w:style>
  <w:style w:type="paragraph" w:styleId="801">
    <w:name w:val="Heading 3"/>
    <w:basedOn w:val="916"/>
    <w:qFormat/>
    <w:rPr>
      <w:sz w:val="28"/>
    </w:rPr>
    <w:pPr>
      <w:spacing w:after="120" w:before="140"/>
    </w:pPr>
  </w:style>
  <w:style w:type="paragraph" w:styleId="802">
    <w:name w:val="Heading 4"/>
    <w:basedOn w:val="798"/>
    <w:qFormat/>
    <w:rPr>
      <w:b/>
    </w:rPr>
    <w:pPr>
      <w:spacing w:after="60" w:before="240"/>
    </w:pPr>
  </w:style>
  <w:style w:type="paragraph" w:styleId="803">
    <w:name w:val="Heading 5"/>
    <w:basedOn w:val="798"/>
    <w:qFormat/>
    <w:rPr>
      <w:sz w:val="40"/>
    </w:rPr>
    <w:pPr>
      <w:jc w:val="center"/>
      <w:spacing w:after="0" w:before="480"/>
    </w:pPr>
  </w:style>
  <w:style w:type="paragraph" w:styleId="804">
    <w:name w:val="Heading 6"/>
    <w:basedOn w:val="798"/>
    <w:qFormat/>
    <w:rPr>
      <w:b/>
      <w:sz w:val="22"/>
    </w:rPr>
    <w:pPr>
      <w:spacing w:after="60" w:before="240"/>
    </w:pPr>
  </w:style>
  <w:style w:type="paragraph" w:styleId="805">
    <w:name w:val="Heading 7"/>
    <w:basedOn w:val="892"/>
    <w:qFormat/>
    <w:rPr>
      <w:rFonts w:ascii="Arial" w:hAnsi="Arial" w:cs="Arial" w:eastAsia="Arial"/>
      <w:b/>
      <w:i/>
      <w:sz w:val="22"/>
    </w:rPr>
    <w:pPr>
      <w:spacing w:after="200" w:before="320"/>
    </w:pPr>
  </w:style>
  <w:style w:type="paragraph" w:styleId="806">
    <w:name w:val="Heading 8"/>
    <w:basedOn w:val="892"/>
    <w:qFormat/>
    <w:rPr>
      <w:rFonts w:ascii="Arial" w:hAnsi="Arial" w:cs="Arial" w:eastAsia="Arial"/>
      <w:i/>
      <w:sz w:val="22"/>
    </w:rPr>
    <w:pPr>
      <w:spacing w:after="200" w:before="320"/>
    </w:pPr>
  </w:style>
  <w:style w:type="paragraph" w:styleId="807">
    <w:name w:val="Heading 9"/>
    <w:basedOn w:val="892"/>
    <w:qFormat/>
    <w:rPr>
      <w:rFonts w:ascii="Arial" w:hAnsi="Arial" w:cs="Arial" w:eastAsia="Arial"/>
      <w:i/>
      <w:sz w:val="21"/>
    </w:rPr>
    <w:pPr>
      <w:spacing w:after="200" w:before="320"/>
    </w:pPr>
  </w:style>
  <w:style w:type="character" w:styleId="808">
    <w:name w:val="Heading 1 Char"/>
    <w:basedOn w:val="830"/>
    <w:qFormat/>
    <w:rPr>
      <w:rFonts w:ascii="Arial" w:hAnsi="Arial" w:cs="Arial" w:eastAsia="Arial"/>
      <w:sz w:val="40"/>
    </w:rPr>
  </w:style>
  <w:style w:type="character" w:styleId="809">
    <w:name w:val="Heading 2 Char"/>
    <w:basedOn w:val="830"/>
    <w:qFormat/>
    <w:rPr>
      <w:rFonts w:ascii="Arial" w:hAnsi="Arial" w:cs="Arial" w:eastAsia="Arial"/>
      <w:sz w:val="34"/>
    </w:rPr>
  </w:style>
  <w:style w:type="character" w:styleId="810">
    <w:name w:val="Heading 3 Char"/>
    <w:basedOn w:val="830"/>
    <w:qFormat/>
    <w:rPr>
      <w:rFonts w:ascii="Arial" w:hAnsi="Arial" w:cs="Arial" w:eastAsia="Arial"/>
      <w:sz w:val="30"/>
    </w:rPr>
  </w:style>
  <w:style w:type="character" w:styleId="811">
    <w:name w:val="Heading 4 Char"/>
    <w:basedOn w:val="830"/>
    <w:qFormat/>
    <w:rPr>
      <w:rFonts w:ascii="Arial" w:hAnsi="Arial" w:cs="Arial" w:eastAsia="Arial"/>
      <w:b/>
      <w:sz w:val="26"/>
    </w:rPr>
  </w:style>
  <w:style w:type="character" w:styleId="812">
    <w:name w:val="Heading 5 Char"/>
    <w:basedOn w:val="830"/>
    <w:qFormat/>
    <w:rPr>
      <w:rFonts w:ascii="Arial" w:hAnsi="Arial" w:cs="Arial" w:eastAsia="Arial"/>
      <w:b/>
      <w:sz w:val="24"/>
    </w:rPr>
  </w:style>
  <w:style w:type="character" w:styleId="813">
    <w:name w:val="Heading 6 Char"/>
    <w:basedOn w:val="830"/>
    <w:qFormat/>
    <w:rPr>
      <w:rFonts w:ascii="Arial" w:hAnsi="Arial" w:cs="Arial" w:eastAsia="Arial"/>
      <w:b/>
      <w:sz w:val="22"/>
    </w:rPr>
  </w:style>
  <w:style w:type="character" w:styleId="814">
    <w:name w:val="Heading 7 Char"/>
    <w:basedOn w:val="830"/>
    <w:qFormat/>
    <w:rPr>
      <w:rFonts w:ascii="Arial" w:hAnsi="Arial" w:cs="Arial" w:eastAsia="Arial"/>
      <w:b/>
      <w:i/>
      <w:sz w:val="22"/>
    </w:rPr>
  </w:style>
  <w:style w:type="character" w:styleId="815">
    <w:name w:val="Heading 8 Char"/>
    <w:basedOn w:val="830"/>
    <w:qFormat/>
    <w:rPr>
      <w:rFonts w:ascii="Arial" w:hAnsi="Arial" w:cs="Arial" w:eastAsia="Arial"/>
      <w:i/>
      <w:sz w:val="22"/>
    </w:rPr>
  </w:style>
  <w:style w:type="character" w:styleId="816">
    <w:name w:val="Heading 9 Char"/>
    <w:basedOn w:val="830"/>
    <w:qFormat/>
    <w:rPr>
      <w:rFonts w:ascii="Arial" w:hAnsi="Arial" w:cs="Arial" w:eastAsia="Arial"/>
      <w:i/>
      <w:sz w:val="21"/>
    </w:rPr>
  </w:style>
  <w:style w:type="character" w:styleId="817">
    <w:name w:val="Title Char"/>
    <w:basedOn w:val="830"/>
    <w:qFormat/>
    <w:rPr>
      <w:sz w:val="48"/>
    </w:rPr>
  </w:style>
  <w:style w:type="character" w:styleId="818">
    <w:name w:val="Subtitle Char"/>
    <w:basedOn w:val="830"/>
    <w:qFormat/>
    <w:rPr>
      <w:sz w:val="24"/>
    </w:rPr>
  </w:style>
  <w:style w:type="character" w:styleId="819">
    <w:name w:val="Quote Char"/>
    <w:qFormat/>
    <w:rPr>
      <w:i/>
    </w:rPr>
  </w:style>
  <w:style w:type="character" w:styleId="820">
    <w:name w:val="Intense Quote Char"/>
    <w:qFormat/>
    <w:rPr>
      <w:i/>
    </w:rPr>
  </w:style>
  <w:style w:type="character" w:styleId="821">
    <w:name w:val="Header Char"/>
    <w:basedOn w:val="830"/>
    <w:qFormat/>
  </w:style>
  <w:style w:type="character" w:styleId="822">
    <w:name w:val="Footer Char"/>
    <w:basedOn w:val="830"/>
    <w:qFormat/>
  </w:style>
  <w:style w:type="character" w:styleId="823">
    <w:name w:val="Caption Char"/>
    <w:qFormat/>
  </w:style>
  <w:style w:type="character" w:styleId="824">
    <w:name w:val="Hyperlink1"/>
    <w:qFormat/>
    <w:rPr>
      <w:color w:val="0000FF"/>
      <w:u w:val="single"/>
    </w:rPr>
  </w:style>
  <w:style w:type="character" w:styleId="825">
    <w:name w:val="Hyperlink"/>
    <w:rPr>
      <w:color w:val="0000FF"/>
      <w:u w:val="single"/>
    </w:rPr>
  </w:style>
  <w:style w:type="character" w:styleId="826">
    <w:name w:val="Footnote Text Char"/>
    <w:qFormat/>
    <w:rPr>
      <w:sz w:val="18"/>
    </w:rPr>
  </w:style>
  <w:style w:type="character" w:styleId="827">
    <w:name w:val="footnote reference1"/>
    <w:basedOn w:val="830"/>
    <w:qFormat/>
    <w:rPr>
      <w:vertAlign w:val="superscript"/>
    </w:rPr>
  </w:style>
  <w:style w:type="character" w:styleId="828">
    <w:name w:val="Endnote Text Char"/>
    <w:qFormat/>
    <w:rPr>
      <w:sz w:val="20"/>
    </w:rPr>
  </w:style>
  <w:style w:type="character" w:styleId="829">
    <w:name w:val="endnote reference"/>
    <w:basedOn w:val="830"/>
    <w:qFormat/>
    <w:rPr>
      <w:vertAlign w:val="superscript"/>
    </w:rPr>
  </w:style>
  <w:style w:type="character" w:styleId="830" w:default="1">
    <w:name w:val="Default Paragraph Font"/>
    <w:qFormat/>
  </w:style>
  <w:style w:type="character" w:styleId="831">
    <w:name w:val="Заголовок 3 Знак"/>
    <w:basedOn w:val="830"/>
    <w:qFormat/>
    <w:rPr>
      <w:rFonts w:ascii="Times New Roman" w:hAnsi="Times New Roman" w:cs="Times New Roman" w:eastAsia="Times New Roman"/>
      <w:b/>
      <w:sz w:val="28"/>
    </w:rPr>
  </w:style>
  <w:style w:type="character" w:styleId="832">
    <w:name w:val="Заголовок 4 Знак"/>
    <w:basedOn w:val="830"/>
    <w:qFormat/>
    <w:rPr>
      <w:rFonts w:ascii="Times New Roman" w:hAnsi="Times New Roman" w:cs="Times New Roman" w:eastAsia="Times New Roman"/>
      <w:b/>
      <w:sz w:val="24"/>
    </w:rPr>
  </w:style>
  <w:style w:type="character" w:styleId="833">
    <w:name w:val="Заголовок 5 Знак"/>
    <w:basedOn w:val="830"/>
    <w:qFormat/>
    <w:rPr>
      <w:rFonts w:ascii="Times New Roman" w:hAnsi="Times New Roman" w:cs="Times New Roman" w:eastAsia="Times New Roman"/>
      <w:sz w:val="40"/>
    </w:rPr>
  </w:style>
  <w:style w:type="character" w:styleId="834">
    <w:name w:val="Заголовок 6 Знак"/>
    <w:basedOn w:val="830"/>
    <w:qFormat/>
    <w:rPr>
      <w:rFonts w:ascii="Times New Roman" w:hAnsi="Times New Roman" w:cs="Times New Roman" w:eastAsia="Times New Roman"/>
      <w:b/>
    </w:rPr>
  </w:style>
  <w:style w:type="character" w:styleId="835">
    <w:name w:val="WW8Num1z0"/>
    <w:qFormat/>
  </w:style>
  <w:style w:type="character" w:styleId="836">
    <w:name w:val="WW8Num1z1"/>
    <w:qFormat/>
  </w:style>
  <w:style w:type="character" w:styleId="837">
    <w:name w:val="WW8Num1z2"/>
    <w:qFormat/>
  </w:style>
  <w:style w:type="character" w:styleId="838">
    <w:name w:val="WW8Num1z3"/>
    <w:qFormat/>
  </w:style>
  <w:style w:type="character" w:styleId="839">
    <w:name w:val="WW8Num1z4"/>
    <w:qFormat/>
  </w:style>
  <w:style w:type="character" w:styleId="840">
    <w:name w:val="WW8Num1z5"/>
    <w:qFormat/>
  </w:style>
  <w:style w:type="character" w:styleId="841">
    <w:name w:val="WW8Num1z6"/>
    <w:qFormat/>
  </w:style>
  <w:style w:type="character" w:styleId="842">
    <w:name w:val="WW8Num1z7"/>
    <w:qFormat/>
  </w:style>
  <w:style w:type="character" w:styleId="843">
    <w:name w:val="WW8Num1z8"/>
    <w:qFormat/>
  </w:style>
  <w:style w:type="character" w:styleId="844">
    <w:name w:val="WW8Num2z0"/>
    <w:qFormat/>
    <w:rPr>
      <w:b w:val="false"/>
      <w:i w:val="false"/>
      <w:color w:val="000000"/>
    </w:rPr>
  </w:style>
  <w:style w:type="character" w:styleId="845">
    <w:name w:val="WW8Num2z1"/>
    <w:qFormat/>
  </w:style>
  <w:style w:type="character" w:styleId="846">
    <w:name w:val="WW8Num2z2"/>
    <w:qFormat/>
  </w:style>
  <w:style w:type="character" w:styleId="847">
    <w:name w:val="WW8Num2z3"/>
    <w:qFormat/>
  </w:style>
  <w:style w:type="character" w:styleId="848">
    <w:name w:val="WW8Num2z4"/>
    <w:qFormat/>
  </w:style>
  <w:style w:type="character" w:styleId="849">
    <w:name w:val="WW8Num2z5"/>
    <w:qFormat/>
  </w:style>
  <w:style w:type="character" w:styleId="850">
    <w:name w:val="WW8Num2z6"/>
    <w:qFormat/>
  </w:style>
  <w:style w:type="character" w:styleId="851">
    <w:name w:val="WW8Num2z7"/>
    <w:qFormat/>
  </w:style>
  <w:style w:type="character" w:styleId="852">
    <w:name w:val="WW8Num2z8"/>
    <w:qFormat/>
  </w:style>
  <w:style w:type="character" w:styleId="853">
    <w:name w:val="WW8Num3z0"/>
    <w:qFormat/>
  </w:style>
  <w:style w:type="character" w:styleId="854">
    <w:name w:val="WW8Num3z1"/>
    <w:qFormat/>
  </w:style>
  <w:style w:type="character" w:styleId="855">
    <w:name w:val="WW8Num3z2"/>
    <w:qFormat/>
  </w:style>
  <w:style w:type="character" w:styleId="856">
    <w:name w:val="WW8Num3z3"/>
    <w:qFormat/>
  </w:style>
  <w:style w:type="character" w:styleId="857">
    <w:name w:val="WW8Num3z4"/>
    <w:qFormat/>
  </w:style>
  <w:style w:type="character" w:styleId="858">
    <w:name w:val="WW8Num3z5"/>
    <w:qFormat/>
  </w:style>
  <w:style w:type="character" w:styleId="859">
    <w:name w:val="WW8Num3z6"/>
    <w:qFormat/>
  </w:style>
  <w:style w:type="character" w:styleId="860">
    <w:name w:val="WW8Num3z7"/>
    <w:qFormat/>
  </w:style>
  <w:style w:type="character" w:styleId="861">
    <w:name w:val="WW8Num3z8"/>
    <w:qFormat/>
  </w:style>
  <w:style w:type="character" w:styleId="862">
    <w:name w:val="WW8Num4z0"/>
    <w:qFormat/>
  </w:style>
  <w:style w:type="character" w:styleId="863">
    <w:name w:val="WW8Num5z0"/>
    <w:qFormat/>
  </w:style>
  <w:style w:type="character" w:styleId="864">
    <w:name w:val="Основной шрифт абзаца1"/>
    <w:qFormat/>
  </w:style>
  <w:style w:type="character" w:styleId="865">
    <w:name w:val="Текст выноски Знак"/>
    <w:qFormat/>
    <w:rPr>
      <w:rFonts w:ascii="Tahoma" w:hAnsi="Tahoma" w:cs="Tahoma"/>
      <w:sz w:val="16"/>
    </w:rPr>
  </w:style>
  <w:style w:type="character" w:styleId="866">
    <w:name w:val="Гипертекстовая ссылка"/>
    <w:qFormat/>
    <w:rPr>
      <w:rFonts w:cs="Times New Roman"/>
      <w:color w:val="106BBE"/>
    </w:rPr>
  </w:style>
  <w:style w:type="character" w:styleId="867">
    <w:name w:val="Схема документа Знак"/>
    <w:qFormat/>
    <w:rPr>
      <w:rFonts w:ascii="Tahoma" w:hAnsi="Tahoma" w:cs="Tahoma"/>
      <w:sz w:val="16"/>
    </w:rPr>
  </w:style>
  <w:style w:type="character" w:styleId="868">
    <w:name w:val="Название Знак"/>
    <w:qFormat/>
    <w:rPr>
      <w:b/>
      <w:sz w:val="28"/>
    </w:rPr>
  </w:style>
  <w:style w:type="character" w:styleId="869">
    <w:name w:val="Подзаголовок Знак"/>
    <w:qFormat/>
    <w:rPr>
      <w:b/>
      <w:sz w:val="28"/>
    </w:rPr>
  </w:style>
  <w:style w:type="character" w:styleId="870">
    <w:name w:val="Текст сноски Знак"/>
    <w:basedOn w:val="864"/>
    <w:qFormat/>
  </w:style>
  <w:style w:type="character" w:styleId="871">
    <w:name w:val="Символ сноски"/>
    <w:qFormat/>
    <w:rPr>
      <w:vertAlign w:val="superscript"/>
    </w:rPr>
  </w:style>
  <w:style w:type="character" w:styleId="872">
    <w:name w:val="FollowedHyperlink"/>
    <w:rPr>
      <w:color w:val="800000"/>
      <w:u w:val="single"/>
    </w:rPr>
  </w:style>
  <w:style w:type="character" w:styleId="873">
    <w:name w:val="Основной текст Знак"/>
    <w:basedOn w:val="830"/>
    <w:qFormat/>
    <w:rPr>
      <w:rFonts w:ascii="Times New Roman" w:hAnsi="Times New Roman" w:cs="Times New Roman" w:eastAsia="Times New Roman"/>
      <w:b/>
      <w:sz w:val="24"/>
    </w:rPr>
  </w:style>
  <w:style w:type="character" w:styleId="874">
    <w:name w:val="Текст выноски Знак1"/>
    <w:basedOn w:val="830"/>
    <w:qFormat/>
    <w:rPr>
      <w:rFonts w:ascii="Tahoma" w:hAnsi="Tahoma" w:cs="Tahoma" w:eastAsia="Times New Roman"/>
      <w:sz w:val="16"/>
    </w:rPr>
  </w:style>
  <w:style w:type="character" w:styleId="875">
    <w:name w:val="Текст выноски Знак2"/>
    <w:basedOn w:val="830"/>
    <w:qFormat/>
    <w:rPr>
      <w:rFonts w:ascii="Times New Roman" w:hAnsi="Times New Roman" w:cs="Times New Roman" w:eastAsia="Times New Roman"/>
      <w:b/>
      <w:sz w:val="24"/>
    </w:rPr>
  </w:style>
  <w:style w:type="character" w:styleId="876">
    <w:name w:val="Текст сноски Знак1"/>
    <w:basedOn w:val="830"/>
    <w:qFormat/>
    <w:rPr>
      <w:rFonts w:ascii="Times New Roman" w:hAnsi="Times New Roman" w:cs="Times New Roman" w:eastAsia="Times New Roman"/>
      <w:sz w:val="20"/>
    </w:rPr>
  </w:style>
  <w:style w:type="character" w:styleId="877">
    <w:name w:val="Верхний колонтитул Знак"/>
    <w:basedOn w:val="830"/>
    <w:qFormat/>
    <w:rPr>
      <w:rFonts w:ascii="Times New Roman" w:hAnsi="Times New Roman" w:cs="Times New Roman" w:eastAsia="Times New Roman"/>
      <w:sz w:val="24"/>
    </w:rPr>
  </w:style>
  <w:style w:type="character" w:styleId="878">
    <w:name w:val="Нижний колонтитул Знак"/>
    <w:basedOn w:val="830"/>
    <w:qFormat/>
    <w:rPr>
      <w:rFonts w:ascii="Times New Roman" w:hAnsi="Times New Roman" w:cs="Times New Roman" w:eastAsia="Times New Roman"/>
      <w:sz w:val="24"/>
    </w:rPr>
  </w:style>
  <w:style w:type="character" w:styleId="879">
    <w:name w:val="page number"/>
    <w:basedOn w:val="830"/>
    <w:qFormat/>
  </w:style>
  <w:style w:type="character" w:styleId="880">
    <w:name w:val="annotation reference"/>
    <w:qFormat/>
    <w:rPr>
      <w:sz w:val="16"/>
    </w:rPr>
  </w:style>
  <w:style w:type="character" w:styleId="881">
    <w:name w:val="Текст примечания Знак"/>
    <w:basedOn w:val="830"/>
    <w:qFormat/>
    <w:rPr>
      <w:rFonts w:ascii="Times New Roman" w:hAnsi="Times New Roman" w:cs="Times New Roman" w:eastAsia="Times New Roman"/>
      <w:sz w:val="20"/>
    </w:rPr>
  </w:style>
  <w:style w:type="character" w:styleId="882">
    <w:name w:val="Тема примечания Знак"/>
    <w:basedOn w:val="881"/>
    <w:qFormat/>
    <w:rPr>
      <w:rFonts w:ascii="Times New Roman" w:hAnsi="Times New Roman" w:cs="Times New Roman" w:eastAsia="Times New Roman"/>
      <w:b/>
      <w:sz w:val="20"/>
    </w:rPr>
  </w:style>
  <w:style w:type="character" w:styleId="883">
    <w:name w:val="highlightsearch"/>
    <w:basedOn w:val="830"/>
    <w:qFormat/>
  </w:style>
  <w:style w:type="character" w:styleId="884">
    <w:name w:val="footnote reference"/>
    <w:rPr>
      <w:vertAlign w:val="superscript"/>
    </w:rPr>
  </w:style>
  <w:style w:type="character" w:styleId="885">
    <w:name w:val="Footnote Characters"/>
    <w:qFormat/>
    <w:rPr>
      <w:vertAlign w:val="superscript"/>
    </w:rPr>
  </w:style>
  <w:style w:type="character" w:styleId="886">
    <w:name w:val="Emphasis"/>
    <w:qFormat/>
    <w:rPr>
      <w:i/>
    </w:rPr>
  </w:style>
  <w:style w:type="character" w:styleId="887">
    <w:name w:val="Строгий1"/>
    <w:basedOn w:val="830"/>
    <w:qFormat/>
    <w:rPr>
      <w:b/>
    </w:rPr>
  </w:style>
  <w:style w:type="character" w:styleId="888">
    <w:name w:val="Верхний колонтитул Знак1"/>
    <w:basedOn w:val="830"/>
    <w:qFormat/>
    <w:rPr>
      <w:rFonts w:ascii="Times New Roman" w:hAnsi="Times New Roman" w:cs="Times New Roman" w:eastAsia="Times New Roman"/>
      <w:sz w:val="24"/>
    </w:rPr>
  </w:style>
  <w:style w:type="character" w:styleId="889">
    <w:name w:val="Нижний колонтитул Знак1"/>
    <w:basedOn w:val="830"/>
    <w:qFormat/>
    <w:rPr>
      <w:rFonts w:ascii="Times New Roman" w:hAnsi="Times New Roman" w:cs="Times New Roman" w:eastAsia="Times New Roman"/>
      <w:sz w:val="24"/>
    </w:rPr>
  </w:style>
  <w:style w:type="character" w:styleId="890">
    <w:name w:val="Символ нумерации"/>
    <w:qFormat/>
  </w:style>
  <w:style w:type="character" w:styleId="891">
    <w:name w:val="Маркеры"/>
    <w:qFormat/>
    <w:rPr>
      <w:rFonts w:ascii="OpenSymbol" w:hAnsi="OpenSymbol" w:cs="OpenSymbol" w:eastAsia="OpenSymbol"/>
    </w:rPr>
  </w:style>
  <w:style w:type="paragraph" w:styleId="892">
    <w:name w:val="Normal1"/>
    <w:qFormat/>
    <w:rPr>
      <w:rFonts w:ascii="Arial" w:hAnsi="Arial" w:cs="Arial" w:eastAsia="Arial"/>
      <w:color w:val="000000"/>
      <w:sz w:val="22"/>
      <w:szCs w:val="24"/>
      <w:lang w:val="en-US" w:bidi="hi-IN" w:eastAsia="zh-CN"/>
    </w:rPr>
    <w:pPr>
      <w:spacing w:lineRule="auto" w:line="276" w:after="200" w:before="0"/>
      <w:widowControl w:val="off"/>
    </w:pPr>
  </w:style>
  <w:style w:type="paragraph" w:styleId="893">
    <w:name w:val="Заголовок"/>
    <w:basedOn w:val="798"/>
    <w:qFormat/>
    <w:rPr>
      <w:rFonts w:ascii="PT Astra Serif" w:hAnsi="PT Astra Serif" w:cs="Noto Sans Devanagari" w:eastAsia="Tahoma"/>
      <w:sz w:val="28"/>
    </w:rPr>
    <w:pPr>
      <w:spacing w:after="120" w:before="240"/>
    </w:pPr>
  </w:style>
  <w:style w:type="paragraph" w:styleId="894">
    <w:name w:val="Body Text"/>
    <w:basedOn w:val="798"/>
    <w:rPr>
      <w:b/>
    </w:rPr>
    <w:pPr>
      <w:ind w:left="0" w:right="-482" w:firstLine="0"/>
      <w:jc w:val="both"/>
    </w:pPr>
  </w:style>
  <w:style w:type="paragraph" w:styleId="895">
    <w:name w:val="Title"/>
    <w:basedOn w:val="892"/>
    <w:qFormat/>
    <w:rPr>
      <w:sz w:val="48"/>
    </w:rPr>
    <w:pPr>
      <w:contextualSpacing w:val="true"/>
      <w:spacing w:after="200" w:before="300"/>
    </w:pPr>
  </w:style>
  <w:style w:type="paragraph" w:styleId="896">
    <w:name w:val="Quote"/>
    <w:basedOn w:val="892"/>
    <w:qFormat/>
    <w:rPr>
      <w:i/>
    </w:rPr>
    <w:pPr>
      <w:ind w:left="720" w:right="720" w:firstLine="0"/>
    </w:pPr>
  </w:style>
  <w:style w:type="paragraph" w:styleId="897">
    <w:name w:val="Intense Quote"/>
    <w:basedOn w:val="892"/>
    <w:qFormat/>
    <w:rPr>
      <w:i/>
    </w:rPr>
    <w:pPr>
      <w:contextualSpacing w:val="true"/>
      <w:ind w:left="720" w:right="720" w:firstLine="0"/>
      <w:spacing w:after="200" w:before="0"/>
      <w:shd w:val="clear" w:fill="F2F2F2" w:color="auto"/>
      <w:pBdr>
        <w:left w:val="single" w:color="FFFFFF" w:sz="4" w:space="0"/>
        <w:top w:val="single" w:color="FFFFFF" w:sz="4" w:space="0"/>
        <w:right w:val="single" w:color="FFFFFF" w:sz="4" w:space="0"/>
        <w:bottom w:val="single" w:color="FFFFFF" w:sz="4" w:space="0"/>
      </w:pBdr>
    </w:pPr>
  </w:style>
  <w:style w:type="paragraph" w:styleId="898">
    <w:name w:val="footnote text1"/>
    <w:basedOn w:val="892"/>
    <w:qFormat/>
    <w:rPr>
      <w:sz w:val="18"/>
    </w:rPr>
    <w:pPr>
      <w:spacing w:lineRule="auto" w:line="240" w:after="40" w:before="0"/>
    </w:pPr>
  </w:style>
  <w:style w:type="paragraph" w:styleId="899">
    <w:name w:val="endnote text"/>
    <w:basedOn w:val="892"/>
    <w:qFormat/>
    <w:rPr>
      <w:sz w:val="20"/>
    </w:rPr>
    <w:pPr>
      <w:spacing w:lineRule="auto" w:line="240" w:after="0" w:before="0"/>
    </w:pPr>
  </w:style>
  <w:style w:type="paragraph" w:styleId="900">
    <w:name w:val="toc 1"/>
    <w:basedOn w:val="892"/>
    <w:qFormat/>
    <w:pPr>
      <w:ind w:left="0" w:right="0" w:firstLine="0"/>
      <w:spacing w:after="57" w:before="0"/>
    </w:pPr>
  </w:style>
  <w:style w:type="paragraph" w:styleId="901">
    <w:name w:val="toc 2"/>
    <w:basedOn w:val="892"/>
    <w:qFormat/>
    <w:pPr>
      <w:ind w:left="283" w:right="0" w:firstLine="0"/>
      <w:spacing w:after="57" w:before="0"/>
    </w:pPr>
  </w:style>
  <w:style w:type="paragraph" w:styleId="902">
    <w:name w:val="toc 3"/>
    <w:basedOn w:val="892"/>
    <w:qFormat/>
    <w:pPr>
      <w:ind w:left="567" w:right="0" w:firstLine="0"/>
      <w:spacing w:after="57" w:before="0"/>
    </w:pPr>
  </w:style>
  <w:style w:type="paragraph" w:styleId="903">
    <w:name w:val="toc 4"/>
    <w:basedOn w:val="892"/>
    <w:qFormat/>
    <w:pPr>
      <w:ind w:left="850" w:right="0" w:firstLine="0"/>
      <w:spacing w:after="57" w:before="0"/>
    </w:pPr>
  </w:style>
  <w:style w:type="paragraph" w:styleId="904">
    <w:name w:val="toc 5"/>
    <w:basedOn w:val="892"/>
    <w:qFormat/>
    <w:pPr>
      <w:ind w:left="1134" w:right="0" w:firstLine="0"/>
      <w:spacing w:after="57" w:before="0"/>
    </w:pPr>
  </w:style>
  <w:style w:type="paragraph" w:styleId="905">
    <w:name w:val="toc 6"/>
    <w:basedOn w:val="892"/>
    <w:qFormat/>
    <w:pPr>
      <w:ind w:left="1417" w:right="0" w:firstLine="0"/>
      <w:spacing w:after="57" w:before="0"/>
    </w:pPr>
  </w:style>
  <w:style w:type="paragraph" w:styleId="906">
    <w:name w:val="toc 7"/>
    <w:basedOn w:val="892"/>
    <w:qFormat/>
    <w:pPr>
      <w:ind w:left="1701" w:right="0" w:firstLine="0"/>
      <w:spacing w:after="57" w:before="0"/>
    </w:pPr>
  </w:style>
  <w:style w:type="paragraph" w:styleId="907">
    <w:name w:val="toc 8"/>
    <w:basedOn w:val="892"/>
    <w:qFormat/>
    <w:pPr>
      <w:ind w:left="1984" w:right="0" w:firstLine="0"/>
      <w:spacing w:after="57" w:before="0"/>
    </w:pPr>
  </w:style>
  <w:style w:type="paragraph" w:styleId="908">
    <w:name w:val="toc 9"/>
    <w:basedOn w:val="892"/>
    <w:qFormat/>
    <w:pPr>
      <w:ind w:left="2268" w:right="0" w:firstLine="0"/>
      <w:spacing w:after="57" w:before="0"/>
    </w:pPr>
  </w:style>
  <w:style w:type="paragraph" w:styleId="909">
    <w:name w:val="TOC Heading"/>
    <w:qFormat/>
    <w:rPr>
      <w:rFonts w:ascii="Arial" w:hAnsi="Arial" w:cs="Arial" w:eastAsia="Arial"/>
      <w:color w:val="000000"/>
      <w:sz w:val="22"/>
      <w:szCs w:val="24"/>
      <w:lang w:val="en-US" w:bidi="hi-IN" w:eastAsia="zh-CN"/>
    </w:rPr>
    <w:pPr>
      <w:spacing w:lineRule="auto" w:line="276" w:after="200" w:before="0"/>
      <w:widowControl w:val="off"/>
    </w:pPr>
  </w:style>
  <w:style w:type="paragraph" w:styleId="910">
    <w:name w:val="table of figures"/>
    <w:basedOn w:val="892"/>
    <w:qFormat/>
    <w:pPr>
      <w:spacing w:after="0" w:before="0"/>
    </w:pPr>
  </w:style>
  <w:style w:type="paragraph" w:styleId="911">
    <w:name w:val="DStyle_paragraph"/>
    <w:qFormat/>
    <w:rPr>
      <w:rFonts w:ascii="Calibri" w:hAnsi="Calibri" w:cs="Tahoma" w:eastAsia="Calibri"/>
      <w:color w:val="000000"/>
      <w:sz w:val="20"/>
      <w:szCs w:val="24"/>
      <w:lang w:val="ru-RU" w:bidi="hi-IN" w:eastAsia="zh-CN"/>
    </w:rPr>
    <w:pPr>
      <w:spacing w:lineRule="auto" w:line="276" w:after="200" w:before="0"/>
      <w:widowControl w:val="off"/>
    </w:pPr>
  </w:style>
  <w:style w:type="paragraph" w:styleId="912">
    <w:name w:val="List"/>
    <w:basedOn w:val="894"/>
    <w:rPr>
      <w:rFonts w:cs="Droid Sans Devanagari"/>
    </w:rPr>
  </w:style>
  <w:style w:type="paragraph" w:styleId="913">
    <w:name w:val="Caption"/>
    <w:basedOn w:val="798"/>
    <w:qFormat/>
    <w:rPr>
      <w:rFonts w:cs="Droid Sans Devanagari"/>
      <w:i/>
    </w:rPr>
    <w:pPr>
      <w:spacing w:after="120" w:before="120"/>
    </w:pPr>
  </w:style>
  <w:style w:type="paragraph" w:styleId="914">
    <w:name w:val="Указатель"/>
    <w:basedOn w:val="798"/>
    <w:qFormat/>
    <w:rPr>
      <w:rFonts w:ascii="PT Astra Serif" w:hAnsi="PT Astra Serif" w:cs="Noto Sans Devanagari"/>
    </w:rPr>
  </w:style>
  <w:style w:type="paragraph" w:styleId="915">
    <w:name w:val="index heading"/>
    <w:basedOn w:val="798"/>
    <w:qFormat/>
    <w:rPr>
      <w:rFonts w:ascii="PT Astra Serif" w:hAnsi="PT Astra Serif" w:cs="Noto Sans Devanagari"/>
    </w:rPr>
  </w:style>
  <w:style w:type="paragraph" w:styleId="916">
    <w:name w:val="Подзаголовок Знак2"/>
    <w:basedOn w:val="798"/>
    <w:qFormat/>
    <w:rPr>
      <w:b/>
    </w:rPr>
    <w:pPr>
      <w:jc w:val="center"/>
    </w:pPr>
  </w:style>
  <w:style w:type="paragraph" w:styleId="917">
    <w:name w:val="Указатель1"/>
    <w:basedOn w:val="798"/>
    <w:qFormat/>
    <w:rPr>
      <w:rFonts w:cs="Droid Sans Devanagari"/>
    </w:rPr>
  </w:style>
  <w:style w:type="paragraph" w:styleId="918">
    <w:name w:val="ConsNonformat"/>
    <w:basedOn w:val="911"/>
    <w:qFormat/>
    <w:rPr>
      <w:rFonts w:ascii="Courier New" w:hAnsi="Courier New" w:cs="Courier New" w:eastAsia="Times New Roman"/>
      <w:color w:val="000000"/>
      <w:sz w:val="20"/>
      <w:lang w:val="ru-RU"/>
    </w:rPr>
    <w:pPr>
      <w:ind w:left="0" w:right="19774" w:firstLine="0"/>
      <w:jc w:val="left"/>
      <w:spacing w:after="0" w:before="0"/>
    </w:pPr>
  </w:style>
  <w:style w:type="paragraph" w:styleId="919">
    <w:name w:val="ConsPlusTitle"/>
    <w:basedOn w:val="911"/>
    <w:qFormat/>
    <w:rPr>
      <w:rFonts w:ascii="Calibri" w:hAnsi="Calibri" w:cs="Calibri" w:eastAsia="Calibri"/>
      <w:b/>
      <w:color w:val="000000"/>
      <w:sz w:val="24"/>
      <w:lang w:val="ru-RU"/>
    </w:rPr>
    <w:pPr>
      <w:jc w:val="left"/>
      <w:spacing w:after="0" w:before="0"/>
    </w:pPr>
  </w:style>
  <w:style w:type="paragraph" w:styleId="920">
    <w:name w:val="Знак"/>
    <w:basedOn w:val="798"/>
    <w:qFormat/>
    <w:rPr>
      <w:rFonts w:ascii="Tahoma" w:hAnsi="Tahoma" w:cs="Tahoma"/>
      <w:sz w:val="20"/>
      <w:lang w:val="en-US"/>
    </w:rPr>
    <w:pPr>
      <w:spacing w:after="280" w:before="280"/>
    </w:pPr>
  </w:style>
  <w:style w:type="paragraph" w:styleId="921">
    <w:name w:val="No Spacing"/>
    <w:basedOn w:val="911"/>
    <w:qFormat/>
    <w:rPr>
      <w:rFonts w:ascii="Times New Roman" w:hAnsi="Times New Roman" w:cs="Times New Roman" w:eastAsia="Calibri"/>
      <w:color w:val="000000"/>
      <w:sz w:val="28"/>
      <w:lang w:val="ru-RU"/>
    </w:rPr>
    <w:pPr>
      <w:jc w:val="left"/>
      <w:spacing w:after="0" w:before="0"/>
    </w:pPr>
  </w:style>
  <w:style w:type="paragraph" w:styleId="922">
    <w:name w:val="Balloon Text"/>
    <w:basedOn w:val="798"/>
    <w:qFormat/>
    <w:rPr>
      <w:rFonts w:ascii="Tahoma" w:hAnsi="Tahoma" w:cs="Tahoma"/>
      <w:sz w:val="16"/>
    </w:rPr>
  </w:style>
  <w:style w:type="paragraph" w:styleId="923">
    <w:name w:val="ConsTitle"/>
    <w:basedOn w:val="911"/>
    <w:qFormat/>
    <w:rPr>
      <w:rFonts w:ascii="Arial" w:hAnsi="Arial" w:cs="Arial" w:eastAsia="Times New Roman"/>
      <w:b/>
      <w:color w:val="000000"/>
      <w:sz w:val="16"/>
      <w:lang w:val="ru-RU"/>
    </w:rPr>
    <w:pPr>
      <w:jc w:val="left"/>
      <w:spacing w:after="0" w:before="0"/>
    </w:pPr>
  </w:style>
  <w:style w:type="paragraph" w:styleId="924">
    <w:name w:val="ConsPlusNormal"/>
    <w:basedOn w:val="911"/>
    <w:qFormat/>
    <w:rPr>
      <w:rFonts w:ascii="Arial" w:hAnsi="Arial" w:cs="Arial" w:eastAsia="Times New Roman"/>
      <w:color w:val="000000"/>
      <w:sz w:val="20"/>
      <w:lang w:val="ru-RU"/>
    </w:rPr>
    <w:pPr>
      <w:ind w:left="0" w:right="0" w:firstLine="720"/>
      <w:jc w:val="left"/>
      <w:spacing w:after="0" w:before="0"/>
    </w:pPr>
  </w:style>
  <w:style w:type="paragraph" w:styleId="925">
    <w:name w:val="s_1"/>
    <w:basedOn w:val="798"/>
    <w:qFormat/>
    <w:rPr>
      <w:rFonts w:ascii="Arial" w:hAnsi="Arial" w:cs="Arial"/>
      <w:sz w:val="26"/>
    </w:rPr>
    <w:pPr>
      <w:ind w:left="0" w:right="0" w:firstLine="720"/>
      <w:jc w:val="both"/>
    </w:pPr>
  </w:style>
  <w:style w:type="paragraph" w:styleId="926">
    <w:name w:val="Схема документа1"/>
    <w:basedOn w:val="798"/>
    <w:qFormat/>
    <w:rPr>
      <w:rFonts w:ascii="Tahoma" w:hAnsi="Tahoma" w:cs="Tahoma"/>
      <w:sz w:val="16"/>
    </w:rPr>
  </w:style>
  <w:style w:type="paragraph" w:styleId="927">
    <w:name w:val="Текст в заданном формате"/>
    <w:basedOn w:val="798"/>
    <w:qFormat/>
    <w:rPr>
      <w:rFonts w:ascii="Liberation Mono" w:hAnsi="Liberation Mono" w:cs="Liberation Mono" w:eastAsia="Droid Sans Fallback"/>
      <w:sz w:val="20"/>
    </w:rPr>
  </w:style>
  <w:style w:type="paragraph" w:styleId="928">
    <w:name w:val="Без интервала1"/>
    <w:basedOn w:val="911"/>
    <w:qFormat/>
    <w:rPr>
      <w:rFonts w:ascii="Calibri" w:hAnsi="Calibri" w:cs="Calibri" w:eastAsia="Times New Roman"/>
      <w:color w:val="000000"/>
      <w:sz w:val="24"/>
      <w:lang w:val="ru-RU"/>
    </w:rPr>
    <w:pPr>
      <w:jc w:val="left"/>
      <w:spacing w:after="0" w:before="0"/>
    </w:pPr>
  </w:style>
  <w:style w:type="paragraph" w:styleId="929">
    <w:name w:val="Subtitle"/>
    <w:basedOn w:val="798"/>
    <w:qFormat/>
    <w:rPr>
      <w:b/>
      <w:sz w:val="20"/>
    </w:rPr>
    <w:pPr>
      <w:jc w:val="center"/>
    </w:pPr>
  </w:style>
  <w:style w:type="paragraph" w:styleId="930">
    <w:name w:val="footnote text"/>
    <w:basedOn w:val="798"/>
    <w:rPr>
      <w:sz w:val="20"/>
    </w:rPr>
  </w:style>
  <w:style w:type="paragraph" w:styleId="931">
    <w:name w:val="Верхний и нижний колонтитулы"/>
    <w:basedOn w:val="798"/>
    <w:qFormat/>
  </w:style>
  <w:style w:type="paragraph" w:styleId="932">
    <w:name w:val="Header and Footer"/>
    <w:basedOn w:val="798"/>
    <w:qFormat/>
  </w:style>
  <w:style w:type="paragraph" w:styleId="933">
    <w:name w:val="Header"/>
    <w:basedOn w:val="798"/>
    <w:pPr>
      <w:tabs>
        <w:tab w:val="clear" w:pos="709" w:leader="none"/>
        <w:tab w:val="center" w:pos="4676" w:leader="none"/>
        <w:tab w:val="right" w:pos="9354" w:leader="none"/>
      </w:tabs>
    </w:pPr>
  </w:style>
  <w:style w:type="paragraph" w:styleId="934">
    <w:name w:val="Footer"/>
    <w:basedOn w:val="798"/>
    <w:pPr>
      <w:tabs>
        <w:tab w:val="clear" w:pos="709" w:leader="none"/>
        <w:tab w:val="center" w:pos="4676" w:leader="none"/>
        <w:tab w:val="right" w:pos="9354" w:leader="none"/>
      </w:tabs>
    </w:pPr>
  </w:style>
  <w:style w:type="paragraph" w:styleId="935">
    <w:name w:val="annotation text"/>
    <w:basedOn w:val="798"/>
    <w:qFormat/>
    <w:rPr>
      <w:sz w:val="20"/>
    </w:rPr>
  </w:style>
  <w:style w:type="paragraph" w:styleId="936">
    <w:name w:val="annotation subject"/>
    <w:basedOn w:val="935"/>
    <w:qFormat/>
    <w:rPr>
      <w:b/>
    </w:rPr>
  </w:style>
  <w:style w:type="paragraph" w:styleId="937">
    <w:name w:val="Обычный (веб)1"/>
    <w:basedOn w:val="798"/>
    <w:qFormat/>
    <w:pPr>
      <w:jc w:val="center"/>
      <w:spacing w:after="280" w:before="280"/>
    </w:pPr>
  </w:style>
  <w:style w:type="paragraph" w:styleId="938">
    <w:name w:val="Название объекта1"/>
    <w:basedOn w:val="798"/>
    <w:qFormat/>
    <w:rPr>
      <w:rFonts w:ascii="Calibri" w:hAnsi="Calibri" w:cs="Calibri"/>
      <w:b/>
      <w:color w:val="000000"/>
      <w:spacing w:val="-5"/>
      <w:sz w:val="26"/>
    </w:rPr>
    <w:pPr>
      <w:ind w:left="4003" w:right="0" w:firstLine="0"/>
      <w:jc w:val="center"/>
      <w:spacing w:lineRule="exact" w:line="391"/>
      <w:shd w:val="clear" w:fill="FFFFFF" w:color="auto"/>
    </w:pPr>
  </w:style>
  <w:style w:type="paragraph" w:styleId="939">
    <w:name w:val="Основной текст (2)"/>
    <w:basedOn w:val="798"/>
    <w:qFormat/>
    <w:rPr>
      <w:sz w:val="28"/>
    </w:rPr>
    <w:pPr>
      <w:spacing w:lineRule="exact" w:line="391" w:after="1080" w:before="0"/>
      <w:shd w:val="clear" w:fill="FFFFFF" w:color="auto"/>
    </w:pPr>
  </w:style>
  <w:style w:type="paragraph" w:styleId="940">
    <w:name w:val="Содержимое врезки"/>
    <w:basedOn w:val="798"/>
    <w:qFormat/>
  </w:style>
  <w:style w:type="paragraph" w:styleId="941">
    <w:name w:val="List Paragraph"/>
    <w:basedOn w:val="798"/>
    <w:qFormat/>
    <w:rPr>
      <w:rFonts w:eastAsia="Times New Roman"/>
      <w:sz w:val="22"/>
    </w:rPr>
    <w:pPr>
      <w:ind w:left="302" w:right="200" w:firstLine="708"/>
      <w:jc w:val="both"/>
    </w:pPr>
  </w:style>
  <w:style w:type="paragraph" w:styleId="942">
    <w:name w:val="Содержимое таблицы"/>
    <w:basedOn w:val="798"/>
    <w:qFormat/>
  </w:style>
  <w:style w:type="paragraph" w:styleId="943">
    <w:name w:val="Заголовок таблицы"/>
    <w:basedOn w:val="942"/>
    <w:qFormat/>
    <w:rPr>
      <w:b/>
      <w:bCs/>
    </w:rPr>
    <w:pPr>
      <w:jc w:val="center"/>
      <w:suppressLineNumbers/>
    </w:pPr>
  </w:style>
  <w:style w:type="numbering" w:styleId="944" w:default="1">
    <w:name w:val="No List"/>
    <w:uiPriority w:val="99"/>
    <w:semiHidden/>
    <w:unhideWhenUsed/>
  </w:style>
  <w:style w:type="table" w:styleId="945"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Р7-Офис/6.4.2.28</Application>
  <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ru-RU</dc:language>
  <cp:revision>29</cp:revision>
  <dcterms:modified xsi:type="dcterms:W3CDTF">2026-04-27T08:51:22Z</dcterms:modified>
</cp:coreProperties>
</file>